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АНАЛИТИЧЕСКИЙ ОТЧЁТ</w:t>
      </w:r>
    </w:p>
    <w:p>
      <w:pPr>
        <w:jc w:val="center"/>
      </w:pPr>
      <w:r>
        <w:rPr>
          <w:b/>
        </w:rPr>
        <w:t>о реализации спортивно-оздоровительного проекта «Гонка героев — Аэробум» в период летней оздоровительной кампании 2026 года</w:t>
      </w:r>
    </w:p>
    <w:p>
      <w:r>
        <w:rPr>
          <w:b w:val="0"/>
        </w:rPr>
        <w:t>МАУ «ЗОЛ «Медная горка» · 27 мая — 9 сентября 2026 года</w:t>
      </w:r>
    </w:p>
    <w:p>
      <w:pPr>
        <w:pStyle w:val="Heading1"/>
      </w:pPr>
      <w:r>
        <w:t>1. Паспорт проекта и общая характеристика</w:t>
      </w:r>
    </w:p>
    <w:p>
      <w:r>
        <w:rPr>
          <w:b w:val="0"/>
        </w:rPr>
        <w:t>Проект «Гонка героев — Аэробум» рассматривается как массовый спортивно-оздоровительный формат лагеря, направленный на вовлечение воспитанников в двигательную активность, развитие командного взаимодействия, личной инициативы и культуры безопасного преодоления трудностей. В плановых материалах учреждения на 2026 год упоминается спортивная игра «Гонка героев» (аэробум).</w:t>
      </w:r>
    </w:p>
    <w:p>
      <w:r>
        <w:rPr>
          <w:b w:val="0"/>
        </w:rPr>
        <w:t>Аналитический период охватывает семь летних смен. В основе расчётов — общая численность 1 338 воспитанников и заданный показатель охвата 90%. Точное число участников по сменам и протоколы прохождения этапов не предоставлены; поэтому количественные результаты ниже являются расчётными и не заменяют первичный учёт.</w:t>
      </w:r>
    </w:p>
    <w:p>
      <w:pPr>
        <w:pStyle w:val="Heading1"/>
      </w:pPr>
      <w:r>
        <w:t>2. Цель и задачи</w:t>
      </w:r>
    </w:p>
    <w:p>
      <w:r>
        <w:rPr>
          <w:b w:val="0"/>
        </w:rPr>
        <w:t>Цель — создать условия для массового участия детей в доступной спортивно-игровой деятельности, укрепления мотивации к активному образу жизни и развития навыков сотрудничества.</w:t>
      </w:r>
    </w:p>
    <w:p>
      <w:r>
        <w:rPr>
          <w:b w:val="0"/>
        </w:rPr>
        <w:t>• Повышение интереса к физической культуре и регулярной двигательной активности.</w:t>
      </w:r>
    </w:p>
    <w:p>
      <w:r>
        <w:rPr>
          <w:b w:val="0"/>
        </w:rPr>
        <w:t>• Развитие ловкости, координации, выносливости и умения соотносить нагрузку со своими возможностями.</w:t>
      </w:r>
    </w:p>
    <w:p>
      <w:r>
        <w:rPr>
          <w:b w:val="0"/>
        </w:rPr>
        <w:t>• Формирование взаимовыручки, ответственности, дисциплины и уважения к правилам.</w:t>
      </w:r>
    </w:p>
    <w:p>
      <w:r>
        <w:rPr>
          <w:b w:val="0"/>
        </w:rPr>
        <w:t>• Обеспечение доступных форм участия с учётом возраста, подготовки и состояния здоровья.</w:t>
      </w:r>
    </w:p>
    <w:p>
      <w:r>
        <w:rPr>
          <w:b w:val="0"/>
        </w:rPr>
        <w:t>• Создание позитивной ситуации успеха для каждого участника и укрепление межотрядного взаимодействия.</w:t>
      </w:r>
    </w:p>
    <w:p>
      <w:pPr>
        <w:pStyle w:val="Heading1"/>
      </w:pPr>
      <w:r>
        <w:t>3. Организация и содержание реализации</w:t>
      </w:r>
    </w:p>
    <w:p>
      <w:r>
        <w:rPr>
          <w:b w:val="0"/>
        </w:rPr>
        <w:t>В рамках проекта спортивно-игровая деятельность строится вокруг прохождения последовательных испытаний, командной поддержки, соблюдения правил и достижения общего результата. Конкретный перечень этапов, инвентаря и регламентов следует сверить с утверждёнными сценариями и положениями смен: открытая страница проекта недоступна для проверки.</w:t>
      </w:r>
    </w:p>
    <w:p>
      <w:r>
        <w:rPr>
          <w:b w:val="0"/>
        </w:rPr>
        <w:t>Методически значимыми элементами формата являются инструктаж по безопасности, распределение участников по возрастным группам, сопровождение педагогами, возможность адаптации физической нагрузки, поддержка команд и итоговая рефлексия. Указанные элементы описывают рекомендуемую модель реализации; наличие каждого из них в отчётном периоде требует подтверждения организационными материалами.</w:t>
      </w:r>
    </w:p>
    <w:p>
      <w:pPr>
        <w:pStyle w:val="Heading1"/>
      </w:pPr>
      <w:r>
        <w:t>4. Количественные результаты</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Показатель</w:t>
            </w:r>
          </w:p>
        </w:tc>
        <w:tc>
          <w:tcPr>
            <w:tcW w:type="dxa" w:w="4320"/>
          </w:tcPr>
          <w:p>
            <w:r>
              <w:t>Значение</w:t>
            </w:r>
          </w:p>
        </w:tc>
      </w:tr>
      <w:tr>
        <w:tc>
          <w:tcPr>
            <w:tcW w:type="dxa" w:w="4320"/>
          </w:tcPr>
          <w:p>
            <w:r>
              <w:t>Общая численность воспитанников</w:t>
            </w:r>
          </w:p>
        </w:tc>
        <w:tc>
          <w:tcPr>
            <w:tcW w:type="dxa" w:w="4320"/>
          </w:tcPr>
          <w:p>
            <w:r>
              <w:t>1 338</w:t>
            </w:r>
          </w:p>
        </w:tc>
      </w:tr>
      <w:tr>
        <w:tc>
          <w:tcPr>
            <w:tcW w:type="dxa" w:w="4320"/>
          </w:tcPr>
          <w:p>
            <w:r>
              <w:t>Заданный охват</w:t>
            </w:r>
          </w:p>
        </w:tc>
        <w:tc>
          <w:tcPr>
            <w:tcW w:type="dxa" w:w="4320"/>
          </w:tcPr>
          <w:p>
            <w:r>
              <w:t>90%</w:t>
            </w:r>
          </w:p>
        </w:tc>
      </w:tr>
      <w:tr>
        <w:tc>
          <w:tcPr>
            <w:tcW w:type="dxa" w:w="4320"/>
          </w:tcPr>
          <w:p>
            <w:r>
              <w:t>Расчётное число участников</w:t>
            </w:r>
          </w:p>
        </w:tc>
        <w:tc>
          <w:tcPr>
            <w:tcW w:type="dxa" w:w="4320"/>
          </w:tcPr>
          <w:p>
            <w:r>
              <w:t>≈ 1 204</w:t>
            </w:r>
          </w:p>
        </w:tc>
      </w:tr>
      <w:tr>
        <w:tc>
          <w:tcPr>
            <w:tcW w:type="dxa" w:w="4320"/>
          </w:tcPr>
          <w:p>
            <w:r>
              <w:t>Расчётное число неучаствовавших</w:t>
            </w:r>
          </w:p>
        </w:tc>
        <w:tc>
          <w:tcPr>
            <w:tcW w:type="dxa" w:w="4320"/>
          </w:tcPr>
          <w:p>
            <w:r>
              <w:t>≈ 134</w:t>
            </w:r>
          </w:p>
        </w:tc>
      </w:tr>
      <w:tr>
        <w:tc>
          <w:tcPr>
            <w:tcW w:type="dxa" w:w="4320"/>
          </w:tcPr>
          <w:p>
            <w:r>
              <w:t>Среднее расчётное число участников за смену</w:t>
            </w:r>
          </w:p>
        </w:tc>
        <w:tc>
          <w:tcPr>
            <w:tcW w:type="dxa" w:w="4320"/>
          </w:tcPr>
          <w:p>
            <w:r>
              <w:t>≈ 172</w:t>
            </w:r>
          </w:p>
        </w:tc>
      </w:tr>
      <w:tr>
        <w:tc>
          <w:tcPr>
            <w:tcW w:type="dxa" w:w="4320"/>
          </w:tcPr>
          <w:p>
            <w:r>
              <w:t>Количество летних смен</w:t>
            </w:r>
          </w:p>
        </w:tc>
        <w:tc>
          <w:tcPr>
            <w:tcW w:type="dxa" w:w="4320"/>
          </w:tcPr>
          <w:p>
            <w:r>
              <w:t>7</w:t>
            </w:r>
          </w:p>
        </w:tc>
      </w:tr>
      <w:tr>
        <w:tc>
          <w:tcPr>
            <w:tcW w:type="dxa" w:w="4320"/>
          </w:tcPr>
          <w:p>
            <w:r>
              <w:t>Среднее число воспитанников за смену</w:t>
            </w:r>
          </w:p>
        </w:tc>
        <w:tc>
          <w:tcPr>
            <w:tcW w:type="dxa" w:w="4320"/>
          </w:tcPr>
          <w:p>
            <w:r>
              <w:t>≈ 191</w:t>
            </w:r>
          </w:p>
        </w:tc>
      </w:tr>
    </w:tbl>
    <w:p>
      <w:r>
        <w:rPr>
          <w:b w:val="0"/>
        </w:rPr>
        <w:t>Расчёт: 1 338 × 0,90 = 1 204,2; округление до целого человека — 1 204. Фактическая доля 1 204 / 1 338 × 100 = 89,99%, что округляется до 90,0%. Число 134 — арифметическая разница, а не установленная причина неучастия.</w:t>
      </w:r>
    </w:p>
    <w:p>
      <w:r>
        <w:drawing>
          <wp:inline xmlns:a="http://schemas.openxmlformats.org/drawingml/2006/main" xmlns:pic="http://schemas.openxmlformats.org/drawingml/2006/picture">
            <wp:extent cx="5760720" cy="1872234"/>
            <wp:docPr id="1" name="Picture 1"/>
            <wp:cNvGraphicFramePr>
              <a:graphicFrameLocks noChangeAspect="1"/>
            </wp:cNvGraphicFramePr>
            <a:graphic>
              <a:graphicData uri="http://schemas.openxmlformats.org/drawingml/2006/picture">
                <pic:pic>
                  <pic:nvPicPr>
                    <pic:cNvPr id="0" name="aerobum_coverage.png"/>
                    <pic:cNvPicPr/>
                  </pic:nvPicPr>
                  <pic:blipFill>
                    <a:blip r:embed="rId9"/>
                    <a:stretch>
                      <a:fillRect/>
                    </a:stretch>
                  </pic:blipFill>
                  <pic:spPr>
                    <a:xfrm>
                      <a:off x="0" y="0"/>
                      <a:ext cx="5760720" cy="1872234"/>
                    </a:xfrm>
                    <a:prstGeom prst="rect"/>
                  </pic:spPr>
                </pic:pic>
              </a:graphicData>
            </a:graphic>
          </wp:inline>
        </w:drawing>
      </w:r>
    </w:p>
    <w:p>
      <w:r>
        <w:drawing>
          <wp:inline xmlns:a="http://schemas.openxmlformats.org/drawingml/2006/main" xmlns:pic="http://schemas.openxmlformats.org/drawingml/2006/picture">
            <wp:extent cx="4937760" cy="2094807"/>
            <wp:docPr id="2" name="Picture 2"/>
            <wp:cNvGraphicFramePr>
              <a:graphicFrameLocks noChangeAspect="1"/>
            </wp:cNvGraphicFramePr>
            <a:graphic>
              <a:graphicData uri="http://schemas.openxmlformats.org/drawingml/2006/picture">
                <pic:pic>
                  <pic:nvPicPr>
                    <pic:cNvPr id="0" name="aerobum_share.png"/>
                    <pic:cNvPicPr/>
                  </pic:nvPicPr>
                  <pic:blipFill>
                    <a:blip r:embed="rId10"/>
                    <a:stretch>
                      <a:fillRect/>
                    </a:stretch>
                  </pic:blipFill>
                  <pic:spPr>
                    <a:xfrm>
                      <a:off x="0" y="0"/>
                      <a:ext cx="4937760" cy="2094807"/>
                    </a:xfrm>
                    <a:prstGeom prst="rect"/>
                  </pic:spPr>
                </pic:pic>
              </a:graphicData>
            </a:graphic>
          </wp:inline>
        </w:drawing>
      </w:r>
    </w:p>
    <w:p>
      <w:pPr>
        <w:pStyle w:val="Heading1"/>
      </w:pPr>
      <w:r>
        <w:t>5. Анализ охвата и доступности</w:t>
      </w:r>
    </w:p>
    <w:p>
      <w:r>
        <w:rPr>
          <w:b w:val="0"/>
        </w:rPr>
        <w:t>Охват порядка 90% характеризует проект как массовый формат лагерной деятельности. В расчёте на семь смен это около 172 участников на смену, однако фактическое распределение по сменам могло отличаться. Указанный процент не позволяет определить долю детей, прошедших всю дистанцию, успешно выполнивших задания либо участвовавших повторно.</w:t>
      </w:r>
    </w:p>
    <w:p>
      <w:r>
        <w:rPr>
          <w:b w:val="0"/>
        </w:rPr>
        <w:t>При интерпретации охвата важно учитывать состояние здоровья, медицинские ограничения, возраст и индивидуальные возможности детей. Отсутствие участия в конкретном испытании не следует автоматически считать низкой мотивацией.</w:t>
      </w:r>
    </w:p>
    <w:p>
      <w:pPr>
        <w:pStyle w:val="Heading1"/>
      </w:pPr>
      <w:r>
        <w:t>6. Воспитательные и здоровьесберегающие результаты</w:t>
      </w:r>
    </w:p>
    <w:p>
      <w:pPr>
        <w:pStyle w:val="Heading2"/>
      </w:pPr>
      <w:r>
        <w:t>Двигательная активность</w:t>
      </w:r>
    </w:p>
    <w:p>
      <w:r>
        <w:rPr>
          <w:b w:val="0"/>
        </w:rPr>
        <w:t>Проект обеспечивал формат, в котором физическая нагрузка становилась частью эмоционально привлекательного игрового события. Высокий расчётный охват указывает на потенциал массового вовлечения.</w:t>
      </w:r>
    </w:p>
    <w:p>
      <w:pPr>
        <w:pStyle w:val="Heading2"/>
      </w:pPr>
      <w:r>
        <w:t>Командное взаимодействие</w:t>
      </w:r>
    </w:p>
    <w:p>
      <w:r>
        <w:rPr>
          <w:b w:val="0"/>
        </w:rPr>
        <w:t>Совместное прохождение испытаний создавало условия для поддержки сверстников, распределения ролей и ориентации на общий результат.</w:t>
      </w:r>
    </w:p>
    <w:p>
      <w:pPr>
        <w:pStyle w:val="Heading2"/>
      </w:pPr>
      <w:r>
        <w:t>Личностное развитие</w:t>
      </w:r>
    </w:p>
    <w:p>
      <w:r>
        <w:rPr>
          <w:b w:val="0"/>
        </w:rPr>
        <w:t>Спортивно-игровые задачи способствовали проявлению инициативы, настойчивости, самоконтроля и готовности действовать в нестандартной ситуации.</w:t>
      </w:r>
    </w:p>
    <w:p>
      <w:pPr>
        <w:pStyle w:val="Heading2"/>
      </w:pPr>
      <w:r>
        <w:t>Культура безопасного поведения</w:t>
      </w:r>
    </w:p>
    <w:p>
      <w:r>
        <w:rPr>
          <w:b w:val="0"/>
        </w:rPr>
        <w:t>Формат позволяет закреплять важность соблюдения инструкций, уважения к соперникам и внимательного отношения к собственным возможностям.</w:t>
      </w:r>
    </w:p>
    <w:p>
      <w:r>
        <w:rPr>
          <w:b w:val="0"/>
        </w:rPr>
        <w:t>Перечисленные результаты характеризуют педагогическую направленность проекта. Доказать изменение физических показателей, привычек или социально-психологических качеств без входной и итоговой диагностики невозможно.</w:t>
      </w:r>
    </w:p>
    <w:p>
      <w:pPr>
        <w:pStyle w:val="Heading1"/>
      </w:pPr>
      <w:r>
        <w:t>7. Оценка эффективности реализации</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Критерий</w:t>
            </w:r>
          </w:p>
        </w:tc>
        <w:tc>
          <w:tcPr>
            <w:tcW w:type="dxa" w:w="4320"/>
          </w:tcPr>
          <w:p>
            <w:r>
              <w:t>Оценка</w:t>
            </w:r>
          </w:p>
        </w:tc>
      </w:tr>
      <w:tr>
        <w:tc>
          <w:tcPr>
            <w:tcW w:type="dxa" w:w="4320"/>
          </w:tcPr>
          <w:p>
            <w:r>
              <w:t>Массовость участия</w:t>
            </w:r>
          </w:p>
        </w:tc>
        <w:tc>
          <w:tcPr>
            <w:tcW w:type="dxa" w:w="4320"/>
          </w:tcPr>
          <w:p>
            <w:r>
              <w:t>≈90,0% от 1 338 детей (расчётный охват)</w:t>
            </w:r>
          </w:p>
        </w:tc>
      </w:tr>
      <w:tr>
        <w:tc>
          <w:tcPr>
            <w:tcW w:type="dxa" w:w="4320"/>
          </w:tcPr>
          <w:p>
            <w:r>
              <w:t>Непосредственно вовлечённые дети</w:t>
            </w:r>
          </w:p>
        </w:tc>
        <w:tc>
          <w:tcPr>
            <w:tcW w:type="dxa" w:w="4320"/>
          </w:tcPr>
          <w:p>
            <w:r>
              <w:t>≈1 204 (расчёт)</w:t>
            </w:r>
          </w:p>
        </w:tc>
      </w:tr>
      <w:tr>
        <w:tc>
          <w:tcPr>
            <w:tcW w:type="dxa" w:w="4320"/>
          </w:tcPr>
          <w:p>
            <w:r>
              <w:t>Охват лагерных смен отчётным периодом</w:t>
            </w:r>
          </w:p>
        </w:tc>
        <w:tc>
          <w:tcPr>
            <w:tcW w:type="dxa" w:w="4320"/>
          </w:tcPr>
          <w:p>
            <w:r>
              <w:t>7 из 7 смен (100% периода анализа)</w:t>
            </w:r>
          </w:p>
        </w:tc>
      </w:tr>
      <w:tr>
        <w:tc>
          <w:tcPr>
            <w:tcW w:type="dxa" w:w="4320"/>
          </w:tcPr>
          <w:p>
            <w:r>
              <w:t>Педагогическая вариативность</w:t>
            </w:r>
          </w:p>
        </w:tc>
        <w:tc>
          <w:tcPr>
            <w:tcW w:type="dxa" w:w="4320"/>
          </w:tcPr>
          <w:p>
            <w:r>
              <w:t>Качественная оценка; необходимы сценарии</w:t>
            </w:r>
          </w:p>
        </w:tc>
      </w:tr>
      <w:tr>
        <w:tc>
          <w:tcPr>
            <w:tcW w:type="dxa" w:w="4320"/>
          </w:tcPr>
          <w:p>
            <w:r>
              <w:t>Динамика физической подготовленности</w:t>
            </w:r>
          </w:p>
        </w:tc>
        <w:tc>
          <w:tcPr>
            <w:tcW w:type="dxa" w:w="4320"/>
          </w:tcPr>
          <w:p>
            <w:r>
              <w:t>Нет измерений для расчёта</w:t>
            </w:r>
          </w:p>
        </w:tc>
      </w:tr>
      <w:tr>
        <w:tc>
          <w:tcPr>
            <w:tcW w:type="dxa" w:w="4320"/>
          </w:tcPr>
          <w:p>
            <w:r>
              <w:t>Удовлетворённость участников</w:t>
            </w:r>
          </w:p>
        </w:tc>
        <w:tc>
          <w:tcPr>
            <w:tcW w:type="dxa" w:w="4320"/>
          </w:tcPr>
          <w:p>
            <w:r>
              <w:t>Нет анкетных данных</w:t>
            </w:r>
          </w:p>
        </w:tc>
      </w:tr>
    </w:tbl>
    <w:p>
      <w:r>
        <w:rPr>
          <w:b w:val="0"/>
        </w:rPr>
        <w:t>Вывод об эффективности: по критерию массовости проект демонстрирует высокий заданный охват — около 90%. Организационная и педагогическая эффективность может быть оценена как перспективная, однако утверждать доказанное улучшение здоровья, выносливости или командных навыков без протоколов и диагностических материалов некорректно.</w:t>
      </w:r>
    </w:p>
    <w:p>
      <w:pPr>
        <w:pStyle w:val="Heading1"/>
      </w:pPr>
      <w:r>
        <w:t>8. Рекомендации на 2027 год</w:t>
      </w:r>
    </w:p>
    <w:p>
      <w:r>
        <w:rPr>
          <w:b w:val="0"/>
        </w:rPr>
        <w:t>• Вести единый реестр уникальных участников по каждой смене, исключая повторный счёт.</w:t>
      </w:r>
    </w:p>
    <w:p>
      <w:r>
        <w:rPr>
          <w:b w:val="0"/>
        </w:rPr>
        <w:t>• Фиксировать количество команд, стартов, завершённых дистанций и фактическую посещаемость.</w:t>
      </w:r>
    </w:p>
    <w:p>
      <w:r>
        <w:rPr>
          <w:b w:val="0"/>
        </w:rPr>
        <w:t>• Разработать возрастные варианты трассы и альтернативные задания для детей с ограничениями по нагрузке.</w:t>
      </w:r>
    </w:p>
    <w:p>
      <w:r>
        <w:rPr>
          <w:b w:val="0"/>
        </w:rPr>
        <w:t>• Ввести короткую анкету до и после мероприятия о мотивации к двигательной активности.</w:t>
      </w:r>
    </w:p>
    <w:p>
      <w:r>
        <w:rPr>
          <w:b w:val="0"/>
        </w:rPr>
        <w:t>• Собирать протоколы судейства, фотоотчёты, отзывы участников и педагогов.</w:t>
      </w:r>
    </w:p>
    <w:p>
      <w:r>
        <w:rPr>
          <w:b w:val="0"/>
        </w:rPr>
        <w:t>• Проводить анализ не только массовости, но и удовлетворённости, безопасности и доступности.</w:t>
      </w:r>
    </w:p>
    <w:p>
      <w:pPr>
        <w:pStyle w:val="Heading1"/>
      </w:pPr>
      <w:r>
        <w:t>9. Итоговое заключение</w:t>
      </w:r>
    </w:p>
    <w:p>
      <w:r>
        <w:rPr>
          <w:b w:val="0"/>
        </w:rPr>
        <w:t>«Гонка героев — Аэробум» выступает значимым спортивно-оздоровительным форматом летней кампании МАУ «ЗОЛ «Медная горка». При общей численности 1 338 воспитанников заданный охват 90% соответствует примерно 1 204 детям. Такой масштаб свидетельствует о высоком потенциале проекта как инструмента вовлечения в активный отдых и совместную деятельность.</w:t>
      </w:r>
    </w:p>
    <w:p>
      <w:r>
        <w:rPr>
          <w:b w:val="0"/>
        </w:rPr>
        <w:t>Цель по массовому вовлечению при условии подтверждения учётными данными может считаться достигнутой. Для официального подтверждения остальных результатов необходимы планы, протоколы, сведения об участии по сменам и материалы обратной связи.</w:t>
      </w:r>
    </w:p>
    <w:p>
      <w:r>
        <w:rPr>
          <w:b w:val="0"/>
        </w:rPr>
        <w:t>Основание: данные, предоставленные заказчиком (1 338 воспитанников; охват 90%); плановые материалы учреждения на 2026 год, содержащие упоминание спортивной игры «Гонка героев» (аэробум). Страница проекта: https://medgorka.ru/about/pedagogicheskaya-deyatelnost/metodicheskoe-prostranstvo/gonka-geroev-aerobum/ (не удалось проверить содержимое).</w:t>
      </w:r>
    </w:p>
    <w:sectPr w:rsidR="00FC693F" w:rsidRPr="0006063C" w:rsidSect="00034616">
      <w:pgSz w:w="12240" w:h="15840"/>
      <w:pgMar w:top="108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7604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7604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604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