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АНАЛИТИЧЕСКИЙ ОТЧЁТ</w:t>
      </w:r>
    </w:p>
    <w:p>
      <w:pPr>
        <w:jc w:val="center"/>
      </w:pPr>
      <w:r>
        <w:rPr>
          <w:b/>
        </w:rPr>
        <w:t>о реализации мероприятий по профилактике вредных привычек и формированию культуры здоровья</w:t>
        <w:br/>
        <w:t>в период летней оздоровительной кампании 2026 года</w:t>
      </w:r>
    </w:p>
    <w:p>
      <w:pPr>
        <w:jc w:val="center"/>
      </w:pPr>
      <w:r>
        <w:t>МАУ «ЗОЛ «Медная горка»</w:t>
      </w:r>
    </w:p>
    <w:p>
      <w:r>
        <w:rPr>
          <w:b/>
        </w:rPr>
        <w:t>Отчётный период: 27 мая — 9 сентября 2026 года. Количество летних смен: 7. Общая численность воспитанников: 1 338 человек.</w:t>
      </w:r>
    </w:p>
    <w:p>
      <w:pPr>
        <w:pStyle w:val="Heading1"/>
      </w:pPr>
      <w:r>
        <w:t>1. Общая характеристика направления</w:t>
      </w:r>
    </w:p>
    <w:p>
      <w:r>
        <w:rPr>
          <w:b w:val="0"/>
        </w:rPr>
        <w:t>В период летней оздоровительной кампании 2026 года в МАУ «ЗОЛ «Медная горка» осуществлялась систематическая воспитательная и профилактическая работа, направленная на предупреждение вредных привычек, формирование культуры здорового образа жизни и развитие ответственного отношения воспитанников к собственному здоровью. Мероприятия проводились на протяжении всех семи летних смен и включались в повседневную воспитательную деятельность лагеря.</w:t>
      </w:r>
    </w:p>
    <w:p>
      <w:r>
        <w:rPr>
          <w:b w:val="0"/>
        </w:rPr>
        <w:t>Профилактическая работа сочетала информационно-просветительские, интерактивные, творческие и практико-ориентированные форматы. Основное внимание уделялось не только последствиям вредных привычек, но и формированию позитивной мотивации к сохранению здоровья, навыков самостоятельного и безопасного выбора.</w:t>
      </w:r>
    </w:p>
    <w:p>
      <w:pPr>
        <w:pStyle w:val="Heading1"/>
      </w:pPr>
      <w:r>
        <w:t>2. Цель и задачи</w:t>
      </w:r>
    </w:p>
    <w:p>
      <w:r>
        <w:rPr>
          <w:b/>
        </w:rPr>
        <w:t>Цель: создание условий для формирования у воспитанников культуры здорового образа жизни, осознанного отношения к собственному здоровью и отрицательной позиции по отношению к вредным привычкам.</w:t>
      </w:r>
    </w:p>
    <w:p>
      <w:r>
        <w:rPr>
          <w:b w:val="0"/>
        </w:rPr>
        <w:t>1. Формировать представления о ценности здоровья и составляющих здорового образа жизни.</w:t>
      </w:r>
    </w:p>
    <w:p>
      <w:r>
        <w:rPr>
          <w:b w:val="0"/>
        </w:rPr>
        <w:t>2. Повышать информированность о негативном влиянии табакокурения, электронных сигарет, алкоголя и других психоактивных веществ.</w:t>
      </w:r>
    </w:p>
    <w:p>
      <w:r>
        <w:rPr>
          <w:b w:val="0"/>
        </w:rPr>
        <w:t>3. Развивать критическое мышление, умение принимать решения и противостоять негативному влиянию окружающих.</w:t>
      </w:r>
    </w:p>
    <w:p>
      <w:r>
        <w:rPr>
          <w:b w:val="0"/>
        </w:rPr>
        <w:t>4. Формировать мотивацию к соблюдению режима дня, личной гигиены, рационального питания и двигательной активности.</w:t>
      </w:r>
    </w:p>
    <w:p>
      <w:r>
        <w:rPr>
          <w:b w:val="0"/>
        </w:rPr>
        <w:t>5. Вовлекать воспитанников в профилактическую деятельность через игровые, интерактивные и творческие формы.</w:t>
      </w:r>
    </w:p>
    <w:p>
      <w:r>
        <w:rPr>
          <w:b w:val="0"/>
        </w:rPr>
        <w:t>6. Обеспечивать взаимодействие с медицинскими работниками и профильными специалистами.</w:t>
      </w:r>
    </w:p>
    <w:p>
      <w:r>
        <w:rPr>
          <w:b w:val="0"/>
        </w:rPr>
        <w:t>7. Создавать условия для проявления детской инициативы в популяризации здорового образа жизни.</w:t>
      </w:r>
    </w:p>
    <w:p>
      <w:pPr>
        <w:pStyle w:val="Heading1"/>
      </w:pPr>
      <w:r>
        <w:t>3. Организация профилактической деятельности</w:t>
      </w:r>
    </w:p>
    <w:p>
      <w:r>
        <w:rPr>
          <w:b w:val="0"/>
        </w:rPr>
        <w:t>Мероприятия проводились в течение всей летней оздоровительной кампании (27.05–09.09.2026) в рамках тематических занятий, отрядной работы, общелагерных программ, творческих конкурсов и профилактических встреч. Формы и содержание деятельности адаптировались к возрастным особенностям детей. Использовались информационно-просветительское, профилактическое, творческое, интерактивное, социально-коммуникативное и мотивационно-воспитательное направления.</w:t>
      </w:r>
    </w:p>
    <w:p>
      <w:pPr>
        <w:pStyle w:val="Heading1"/>
      </w:pPr>
      <w:r>
        <w:t>4. Основные формы и содержание работы</w:t>
      </w:r>
    </w:p>
    <w:p>
      <w:pPr>
        <w:pStyle w:val="Heading2"/>
      </w:pPr>
      <w:r>
        <w:t>4.1. Занятия по здоровому образу жизни</w:t>
      </w:r>
    </w:p>
    <w:p>
      <w:r>
        <w:rPr>
          <w:b w:val="0"/>
        </w:rPr>
        <w:t>Проводились тематические занятия ЗОЖ по вопросам личной гигиены, режима дня, полноценного сна, рационального питания, двигательной активности и профилактики вредных привычек. Отдельно рассматривались последствия употребления табака, электронных сигарет, алкоголя и иных психоактивных веществ. Беседы и ситуационные задания помогали связывать информацию с жизненными решениями детей.</w:t>
      </w:r>
    </w:p>
    <w:p>
      <w:r>
        <w:rPr>
          <w:b w:val="0"/>
        </w:rPr>
        <w:t>Результат: Созданы условия для расширения знаний о здоровье и актуализации ответственного отношения к нему.</w:t>
      </w:r>
    </w:p>
    <w:p>
      <w:pPr>
        <w:pStyle w:val="Heading2"/>
      </w:pPr>
      <w:r>
        <w:t>4.2. Встречи со специалистами</w:t>
      </w:r>
    </w:p>
    <w:p>
      <w:r>
        <w:rPr>
          <w:b w:val="0"/>
        </w:rPr>
        <w:t>Важным направлением стали профилактические встречи с медицинскими работниками лагеря и приглашёнными профильными специалистами. Воспитанники получали информацию о сохранении здоровья, профилактике заболеваний и вредных привычек, задавали вопросы и участвовали в обсуждениях.</w:t>
      </w:r>
    </w:p>
    <w:p>
      <w:r>
        <w:rPr>
          <w:b w:val="0"/>
        </w:rPr>
        <w:t>Результат: Обеспечено взаимодействие педагогической и медицинской составляющих профилактики.</w:t>
      </w:r>
    </w:p>
    <w:p>
      <w:pPr>
        <w:pStyle w:val="Heading2"/>
      </w:pPr>
      <w:r>
        <w:t>4.3. Агитбригады</w:t>
      </w:r>
    </w:p>
    <w:p>
      <w:r>
        <w:rPr>
          <w:b w:val="0"/>
        </w:rPr>
        <w:t>В творческих выступлениях профилактических агитбригад воспитанники представляли сверстникам идеи здорового образа жизни через сценки, тематические номера и информационные обращения. Подготовка выступлений включала коллективное обсуждение и самостоятельное осмысление профилактической тематики.</w:t>
      </w:r>
    </w:p>
    <w:p>
      <w:r>
        <w:rPr>
          <w:b w:val="0"/>
        </w:rPr>
        <w:t>Результат: Созданы условия для детской инициативы, командной работы и публичного выражения позиции.</w:t>
      </w:r>
    </w:p>
    <w:p>
      <w:pPr>
        <w:pStyle w:val="Heading2"/>
      </w:pPr>
      <w:r>
        <w:t>4.4. Творческие конкурсы и акции</w:t>
      </w:r>
    </w:p>
    <w:p>
      <w:r>
        <w:rPr>
          <w:b w:val="0"/>
        </w:rPr>
        <w:t>Проводилась работа с тематикой здоровья через рисунки, плакаты, памятки, коллективные творческие задания и акции. Дети могли формулировать собственные слоганы и предлагать идеи популяризации полезных привычек.</w:t>
      </w:r>
    </w:p>
    <w:p>
      <w:r>
        <w:rPr>
          <w:b w:val="0"/>
        </w:rPr>
        <w:t>Результат: Профилактическая тематика включена в творческую деятельность воспитанников.</w:t>
      </w:r>
    </w:p>
    <w:p>
      <w:pPr>
        <w:pStyle w:val="Heading2"/>
      </w:pPr>
      <w:r>
        <w:t>4.5. Интерактивные мероприятия и кинопросмотры</w:t>
      </w:r>
    </w:p>
    <w:p>
      <w:r>
        <w:rPr>
          <w:b w:val="0"/>
        </w:rPr>
        <w:t>Использовались тематические игры, викторины, ситуационные задания, кинопросмотры и обсуждения видеоматериалов. Рассматривались личная ответственность, безопасное поведение, противодействие давлению сверстников и принятие самостоятельных решений.</w:t>
      </w:r>
    </w:p>
    <w:p>
      <w:r>
        <w:rPr>
          <w:b w:val="0"/>
        </w:rPr>
        <w:t>Результат: Созданы условия для развития критического мышления и анализа жизненных ситуаций.</w:t>
      </w:r>
    </w:p>
    <w:p>
      <w:pPr>
        <w:pStyle w:val="Heading1"/>
      </w:pPr>
      <w:r>
        <w:t>5. Количественная характеристика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rPr>
                <w:b/>
              </w:rPr>
              <w:t>Показатель</w:t>
            </w:r>
          </w:p>
        </w:tc>
        <w:tc>
          <w:tcPr>
            <w:tcW w:type="dxa" w:w="4844"/>
          </w:tcPr>
          <w:p>
            <w:r>
              <w:rPr>
                <w:b/>
              </w:rPr>
              <w:t>Значение</w:t>
            </w:r>
          </w:p>
        </w:tc>
      </w:tr>
      <w:tr>
        <w:tc>
          <w:tcPr>
            <w:tcW w:type="dxa" w:w="4844"/>
          </w:tcPr>
          <w:p>
            <w:r>
              <w:t>Период реализации</w:t>
            </w:r>
          </w:p>
        </w:tc>
        <w:tc>
          <w:tcPr>
            <w:tcW w:type="dxa" w:w="4844"/>
          </w:tcPr>
          <w:p>
            <w:r>
              <w:t>27.05–09.09.2026</w:t>
            </w:r>
          </w:p>
        </w:tc>
      </w:tr>
      <w:tr>
        <w:tc>
          <w:tcPr>
            <w:tcW w:type="dxa" w:w="4844"/>
          </w:tcPr>
          <w:p>
            <w:r>
              <w:t>Количество летних смен</w:t>
            </w:r>
          </w:p>
        </w:tc>
        <w:tc>
          <w:tcPr>
            <w:tcW w:type="dxa" w:w="4844"/>
          </w:tcPr>
          <w:p>
            <w:r>
              <w:t>7</w:t>
            </w:r>
          </w:p>
        </w:tc>
      </w:tr>
      <w:tr>
        <w:tc>
          <w:tcPr>
            <w:tcW w:type="dxa" w:w="4844"/>
          </w:tcPr>
          <w:p>
            <w:r>
              <w:t>Общая численность воспитанников</w:t>
            </w:r>
          </w:p>
        </w:tc>
        <w:tc>
          <w:tcPr>
            <w:tcW w:type="dxa" w:w="4844"/>
          </w:tcPr>
          <w:p>
            <w:r>
              <w:t>1 338 человек</w:t>
            </w:r>
          </w:p>
        </w:tc>
      </w:tr>
      <w:tr>
        <w:tc>
          <w:tcPr>
            <w:tcW w:type="dxa" w:w="4844"/>
          </w:tcPr>
          <w:p>
            <w:r>
              <w:t>Средняя численность на смену</w:t>
            </w:r>
          </w:p>
        </w:tc>
        <w:tc>
          <w:tcPr>
            <w:tcW w:type="dxa" w:w="4844"/>
          </w:tcPr>
          <w:p>
            <w:r>
              <w:t>≈191,1 человека</w:t>
            </w:r>
          </w:p>
        </w:tc>
      </w:tr>
      <w:tr>
        <w:tc>
          <w:tcPr>
            <w:tcW w:type="dxa" w:w="4844"/>
          </w:tcPr>
          <w:p>
            <w:r>
              <w:t>Направлений профилактической деятельности</w:t>
            </w:r>
          </w:p>
        </w:tc>
        <w:tc>
          <w:tcPr>
            <w:tcW w:type="dxa" w:w="4844"/>
          </w:tcPr>
          <w:p>
            <w:r>
              <w:t>6</w:t>
            </w:r>
          </w:p>
        </w:tc>
      </w:tr>
      <w:tr>
        <w:tc>
          <w:tcPr>
            <w:tcW w:type="dxa" w:w="4844"/>
          </w:tcPr>
          <w:p>
            <w:r>
              <w:t>Периодичность</w:t>
            </w:r>
          </w:p>
        </w:tc>
        <w:tc>
          <w:tcPr>
            <w:tcW w:type="dxa" w:w="4844"/>
          </w:tcPr>
          <w:p>
            <w:r>
              <w:t>На протяжении всех летних смен</w:t>
            </w:r>
          </w:p>
        </w:tc>
      </w:tr>
    </w:tbl>
    <w:p>
      <w:r>
        <w:rPr>
          <w:b w:val="0"/>
        </w:rPr>
        <w:t>Общая численность 1 338 человек отражает контингент лагеря, а не подтверждённое число индивидуальных участников каждого мероприятия. Для точного расчёта охвата отдельных форм профилактики необходимы журналы и ведомости участия.</w:t>
      </w:r>
    </w:p>
    <w:p>
      <w:pPr>
        <w:pStyle w:val="Heading1"/>
      </w:pPr>
      <w:r>
        <w:t>6. Анализ результатов</w:t>
      </w:r>
    </w:p>
    <w:p>
      <w:r>
        <w:rPr>
          <w:b w:val="0"/>
        </w:rPr>
        <w:t>Системность. Профилактические мероприятия были включены в воспитательную деятельность на протяжении всех семи смен.</w:t>
      </w:r>
    </w:p>
    <w:p>
      <w:r>
        <w:rPr>
          <w:b w:val="0"/>
        </w:rPr>
        <w:t>Комплексный подход. Применялись просветительские, интерактивные и творческие формы работы.</w:t>
      </w:r>
    </w:p>
    <w:p>
      <w:r>
        <w:rPr>
          <w:b w:val="0"/>
        </w:rPr>
        <w:t>Вариативность. Сочетание занятий ЗОЖ, встреч со специалистами, агитбригад, конкурсов и обсуждений обеспечивало разнообразие способов вовлечения детей.</w:t>
      </w:r>
    </w:p>
    <w:p>
      <w:r>
        <w:rPr>
          <w:b w:val="0"/>
        </w:rPr>
        <w:t>Культура здоровья. Содержание работы было ориентировано на понимание ценности здоровья и личной ответственности.</w:t>
      </w:r>
    </w:p>
    <w:p>
      <w:r>
        <w:rPr>
          <w:b w:val="0"/>
        </w:rPr>
        <w:t>Детская инициатива. Творческие формы создавали возможности для самостоятельного участия воспитанников в продвижении идей здорового образа жизни.</w:t>
      </w:r>
    </w:p>
    <w:p>
      <w:r>
        <w:rPr>
          <w:b w:val="0"/>
        </w:rPr>
        <w:t>Междисциплинарное взаимодействие. Участие медицинских работников дополняло педагогическую профилактическую работу.</w:t>
      </w:r>
    </w:p>
    <w:p>
      <w:pPr>
        <w:pStyle w:val="Heading1"/>
      </w:pPr>
      <w:r>
        <w:t>7. Оценка выполнения цели и задач</w:t>
      </w:r>
    </w:p>
    <w:p>
      <w:r>
        <w:rPr>
          <w:b w:val="0"/>
        </w:rPr>
        <w:t>По итогам кампании организационные и содержательные задачи профилактической работы выполнены: в рамках семи смен проводились занятия ЗОЖ, профилактические встречи, творческие и интерактивные мероприятия. Цель в части организации комплексной профилактической деятельности и создания условий для формирования культуры здоровья достигнута.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rPr>
                <w:b/>
              </w:rPr>
              <w:t>Задача</w:t>
            </w:r>
          </w:p>
        </w:tc>
        <w:tc>
          <w:tcPr>
            <w:tcW w:type="dxa" w:w="4844"/>
          </w:tcPr>
          <w:p>
            <w:r>
              <w:rPr>
                <w:b/>
              </w:rPr>
              <w:t>Оценка</w:t>
            </w:r>
          </w:p>
        </w:tc>
      </w:tr>
      <w:tr>
        <w:tc>
          <w:tcPr>
            <w:tcW w:type="dxa" w:w="4844"/>
          </w:tcPr>
          <w:p>
            <w:r>
              <w:t>Систематическая профилактическая работа</w:t>
            </w:r>
          </w:p>
        </w:tc>
        <w:tc>
          <w:tcPr>
            <w:tcW w:type="dxa" w:w="4844"/>
          </w:tcPr>
          <w:p>
            <w:r>
              <w:t>Выполнена</w:t>
            </w:r>
          </w:p>
        </w:tc>
      </w:tr>
      <w:tr>
        <w:tc>
          <w:tcPr>
            <w:tcW w:type="dxa" w:w="4844"/>
          </w:tcPr>
          <w:p>
            <w:r>
              <w:t>Занятия по здоровому образу жизни</w:t>
            </w:r>
          </w:p>
        </w:tc>
        <w:tc>
          <w:tcPr>
            <w:tcW w:type="dxa" w:w="4844"/>
          </w:tcPr>
          <w:p>
            <w:r>
              <w:t>Выполнена</w:t>
            </w:r>
          </w:p>
        </w:tc>
      </w:tr>
      <w:tr>
        <w:tc>
          <w:tcPr>
            <w:tcW w:type="dxa" w:w="4844"/>
          </w:tcPr>
          <w:p>
            <w:r>
              <w:t>Информирование о последствиях вредных привычек</w:t>
            </w:r>
          </w:p>
        </w:tc>
        <w:tc>
          <w:tcPr>
            <w:tcW w:type="dxa" w:w="4844"/>
          </w:tcPr>
          <w:p>
            <w:r>
              <w:t>Выполнена</w:t>
            </w:r>
          </w:p>
        </w:tc>
      </w:tr>
      <w:tr>
        <w:tc>
          <w:tcPr>
            <w:tcW w:type="dxa" w:w="4844"/>
          </w:tcPr>
          <w:p>
            <w:r>
              <w:t>Интерактивные и творческие формы</w:t>
            </w:r>
          </w:p>
        </w:tc>
        <w:tc>
          <w:tcPr>
            <w:tcW w:type="dxa" w:w="4844"/>
          </w:tcPr>
          <w:p>
            <w:r>
              <w:t>Выполнена</w:t>
            </w:r>
          </w:p>
        </w:tc>
      </w:tr>
      <w:tr>
        <w:tc>
          <w:tcPr>
            <w:tcW w:type="dxa" w:w="4844"/>
          </w:tcPr>
          <w:p>
            <w:r>
              <w:t>Встречи со специалистами</w:t>
            </w:r>
          </w:p>
        </w:tc>
        <w:tc>
          <w:tcPr>
            <w:tcW w:type="dxa" w:w="4844"/>
          </w:tcPr>
          <w:p>
            <w:r>
              <w:t>Выполнена</w:t>
            </w:r>
          </w:p>
        </w:tc>
      </w:tr>
      <w:tr>
        <w:tc>
          <w:tcPr>
            <w:tcW w:type="dxa" w:w="4844"/>
          </w:tcPr>
          <w:p>
            <w:r>
              <w:t>Условия для детской инициативы</w:t>
            </w:r>
          </w:p>
        </w:tc>
        <w:tc>
          <w:tcPr>
            <w:tcW w:type="dxa" w:w="4844"/>
          </w:tcPr>
          <w:p>
            <w:r>
              <w:t>Выполнена</w:t>
            </w:r>
          </w:p>
        </w:tc>
      </w:tr>
      <w:tr>
        <w:tc>
          <w:tcPr>
            <w:tcW w:type="dxa" w:w="4844"/>
          </w:tcPr>
          <w:p>
            <w:r>
              <w:t>Положительная мотивация к ЗОЖ</w:t>
            </w:r>
          </w:p>
        </w:tc>
        <w:tc>
          <w:tcPr>
            <w:tcW w:type="dxa" w:w="4844"/>
          </w:tcPr>
          <w:p>
            <w:r>
              <w:t>Созданы условия</w:t>
            </w:r>
          </w:p>
        </w:tc>
      </w:tr>
    </w:tbl>
    <w:p>
      <w:r>
        <w:rPr>
          <w:b w:val="0"/>
        </w:rPr>
        <w:t>Оценка устойчивых изменений в привычках, поведении и установках воспитанников требует отдельных диагностических данных; организационные результаты не следует отождествлять с доказанным долгосрочным профилактическим эффектом.</w:t>
      </w:r>
    </w:p>
    <w:p>
      <w:pPr>
        <w:pStyle w:val="Heading1"/>
      </w:pPr>
      <w:r>
        <w:t>8. Оценка эффективности реализации направления (количественные показатели)</w:t>
      </w:r>
    </w:p>
    <w:p>
      <w:r>
        <w:t>Оценка проведена по подтверждённым организационным характеристикам летней оздоровительной кампании и описанным формам работы. Показатели характеризуют выполнение плана и полноту представленных направлений, а не доказанное изменение поведения детей.</w:t>
      </w:r>
    </w:p>
    <w:p>
      <w:r>
        <w:t>Таблица 2. Расчётные показатели организационной эффективности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30"/>
        <w:gridCol w:w="3230"/>
        <w:gridCol w:w="3230"/>
      </w:tblGrid>
      <w:tr>
        <w:tc>
          <w:tcPr>
            <w:tcW w:type="dxa" w:w="3230"/>
          </w:tcPr>
          <w:p>
            <w:r>
              <w:t>Показатель</w:t>
            </w:r>
          </w:p>
        </w:tc>
        <w:tc>
          <w:tcPr>
            <w:tcW w:type="dxa" w:w="3230"/>
          </w:tcPr>
          <w:p>
            <w:r>
              <w:t>Расчёт</w:t>
            </w:r>
          </w:p>
        </w:tc>
        <w:tc>
          <w:tcPr>
            <w:tcW w:type="dxa" w:w="3230"/>
          </w:tcPr>
          <w:p>
            <w:r>
              <w:t>Результат</w:t>
            </w:r>
          </w:p>
        </w:tc>
      </w:tr>
      <w:tr>
        <w:tc>
          <w:tcPr>
            <w:tcW w:type="dxa" w:w="3230"/>
          </w:tcPr>
          <w:p>
            <w:r>
              <w:t>Охват смен профилактической работой</w:t>
            </w:r>
          </w:p>
        </w:tc>
        <w:tc>
          <w:tcPr>
            <w:tcW w:type="dxa" w:w="3230"/>
          </w:tcPr>
          <w:p>
            <w:r>
              <w:t>7 / 7 × 100%</w:t>
            </w:r>
          </w:p>
        </w:tc>
        <w:tc>
          <w:tcPr>
            <w:tcW w:type="dxa" w:w="3230"/>
          </w:tcPr>
          <w:p>
            <w:r>
              <w:t>100%</w:t>
            </w:r>
          </w:p>
        </w:tc>
      </w:tr>
      <w:tr>
        <w:tc>
          <w:tcPr>
            <w:tcW w:type="dxa" w:w="3230"/>
          </w:tcPr>
          <w:p>
            <w:r>
              <w:t>Представленность предусмотренных форм работы</w:t>
            </w:r>
          </w:p>
        </w:tc>
        <w:tc>
          <w:tcPr>
            <w:tcW w:type="dxa" w:w="3230"/>
          </w:tcPr>
          <w:p>
            <w:r>
              <w:t>5 / 5 × 100%</w:t>
            </w:r>
          </w:p>
        </w:tc>
        <w:tc>
          <w:tcPr>
            <w:tcW w:type="dxa" w:w="3230"/>
          </w:tcPr>
          <w:p>
            <w:r>
              <w:t>100%</w:t>
            </w:r>
          </w:p>
        </w:tc>
      </w:tr>
      <w:tr>
        <w:tc>
          <w:tcPr>
            <w:tcW w:type="dxa" w:w="3230"/>
          </w:tcPr>
          <w:p>
            <w:r>
              <w:t>Выполнение организационных и содержательных задач (по отчёту)</w:t>
            </w:r>
          </w:p>
        </w:tc>
        <w:tc>
          <w:tcPr>
            <w:tcW w:type="dxa" w:w="3230"/>
          </w:tcPr>
          <w:p>
            <w:r>
              <w:t>7 / 7 × 100%</w:t>
            </w:r>
          </w:p>
        </w:tc>
        <w:tc>
          <w:tcPr>
            <w:tcW w:type="dxa" w:w="3230"/>
          </w:tcPr>
          <w:p>
            <w:r>
              <w:t>100%</w:t>
            </w:r>
          </w:p>
        </w:tc>
      </w:tr>
      <w:tr>
        <w:tc>
          <w:tcPr>
            <w:tcW w:type="dxa" w:w="3230"/>
          </w:tcPr>
          <w:p>
            <w:r>
              <w:t>Доля воспитанников в общей численности кампании</w:t>
            </w:r>
          </w:p>
        </w:tc>
        <w:tc>
          <w:tcPr>
            <w:tcW w:type="dxa" w:w="3230"/>
          </w:tcPr>
          <w:p>
            <w:r>
              <w:t>1 338 / 1 338 × 100%</w:t>
            </w:r>
          </w:p>
        </w:tc>
        <w:tc>
          <w:tcPr>
            <w:tcW w:type="dxa" w:w="3230"/>
          </w:tcPr>
          <w:p>
            <w:r>
              <w:t>100% (база расчёта, не охват мероприятий)</w:t>
            </w:r>
          </w:p>
        </w:tc>
      </w:tr>
    </w:tbl>
    <w:p>
      <w:r>
        <w:t>Под пятью формами понимаются: занятия ЗОЖ; встречи со специалистами; агитбригады; творческие конкурсы и акции; интерактивные мероприятия и кинопросмотры. Семь задач приведены в разделе 2 и оценены в разделе 7 как выполненные по организационно-содержательным критериям.</w:t>
      </w:r>
    </w:p>
    <w:p>
      <w:r>
        <w:t>Интерпретация. Показатель 100% по сменам означает наличие профилактической работы в каждой из семи смен; он не означает, что каждый воспитанник посетил каждое мероприятие. Показатель 100% по формам означает, что все пять описанных форм применялись в кампании, но не отражает частоту их проведения. Численность 1 338 — общая численность детей в лагере, а не подтверждённая посещаемость профилактических занятий.</w:t>
      </w:r>
    </w:p>
    <w:p>
      <w:r>
        <w:t>Для расчёта индивидуального охвата, доли усвоивших материал, изменения установок и профилактического эффекта в процентах требуются ведомости посещения и результаты входной/итоговой диагностики. Без таких данных указывать эти проценты как достигнутые было бы некорректно.</w:t>
      </w:r>
    </w:p>
    <w:p>
      <w:pPr>
        <w:pStyle w:val="Heading1"/>
      </w:pPr>
      <w:r>
        <w:t>9. Перспективы на 2027 год</w:t>
      </w:r>
    </w:p>
    <w:p>
      <w:r>
        <w:rPr>
          <w:b w:val="0"/>
        </w:rPr>
        <w:t>1. Сохранить занятия ЗОЖ в программах всех лагерных смен.</w:t>
      </w:r>
    </w:p>
    <w:p>
      <w:r>
        <w:rPr>
          <w:b w:val="0"/>
        </w:rPr>
        <w:t>2. Расширить интерактивные профилактические игры и ситуационные задания.</w:t>
      </w:r>
    </w:p>
    <w:p>
      <w:r>
        <w:rPr>
          <w:b w:val="0"/>
        </w:rPr>
        <w:t>3. Развивать агитбригады и инициативы детского самоуправления.</w:t>
      </w:r>
    </w:p>
    <w:p>
      <w:r>
        <w:rPr>
          <w:b w:val="0"/>
        </w:rPr>
        <w:t>4. Продолжить встречи с медицинскими и профильными специалистами.</w:t>
      </w:r>
    </w:p>
    <w:p>
      <w:r>
        <w:rPr>
          <w:b w:val="0"/>
        </w:rPr>
        <w:t>5. Подготовить возрастные методические материалы по профилактике вредных привычек.</w:t>
      </w:r>
    </w:p>
    <w:p>
      <w:r>
        <w:rPr>
          <w:b w:val="0"/>
        </w:rPr>
        <w:t>6. Ввести краткое входное и итоговое анкетирование.</w:t>
      </w:r>
    </w:p>
    <w:p>
      <w:r>
        <w:rPr>
          <w:b w:val="0"/>
        </w:rPr>
        <w:t>7. Организовать единый количественный учёт участников мероприятий.</w:t>
      </w:r>
    </w:p>
    <w:p>
      <w:r>
        <w:rPr>
          <w:b w:val="0"/>
        </w:rPr>
        <w:t>8. Формировать ежегодный банк лучших профилактических практик.</w:t>
      </w:r>
    </w:p>
    <w:p>
      <w:pPr>
        <w:pStyle w:val="Heading1"/>
      </w:pPr>
      <w:r>
        <w:t>10. Заключение</w:t>
      </w:r>
    </w:p>
    <w:p>
      <w:r>
        <w:rPr>
          <w:b w:val="0"/>
        </w:rPr>
        <w:t>В летнюю оздоровительную кампанию 2026 года при общей численности 1 338 воспитанников МАУ «ЗОЛ «Медная горка» обеспечило систематическую профилактическую работу на протяжении семи летних смен. Занятия ЗОЖ, встречи со специалистами, агитбригады, творческие конкурсы и интерактивные программы были интегрированы в воспитательную деятельность лагеря.</w:t>
      </w:r>
    </w:p>
    <w:p>
      <w:r>
        <w:rPr>
          <w:b/>
        </w:rPr>
        <w:t>Поставленные организационные и содержательные задачи по профилактике вредных привычек выполнены. Реализованная работа создала условия для формирования у воспитанников представлений о здоровом образе жизни и осознанном выборе безопасного поведения. Дальнейшее развитие направления связано с диагностикой результатов и совершенствованием учёта охвата.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МАУ «ЗОЛ «Медная горка» · ЛОК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1A4E32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1A4E3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1A4E32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