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65037"/>
          <w:sz w:val="34"/>
        </w:rPr>
        <w:t>АНАЛИТИЧЕСКИЙ ОТЧЁТ</w:t>
      </w:r>
    </w:p>
    <w:p>
      <w:pPr>
        <w:jc w:val="center"/>
      </w:pPr>
      <w:r>
        <w:t>о реализации направления «Культура здорового питания»</w:t>
        <w:br/>
        <w:t>в период летней оздоровительной кампании 2026 года</w:t>
        <w:br/>
        <w:t>МАУ «ЗОЛ «Медная горка»</w:t>
      </w:r>
    </w:p>
    <w:p>
      <w:r>
        <w:rPr>
          <w:b/>
        </w:rPr>
        <w:t>Отчётный период: 27 мая — 9 сентября 2026 года. Количество летних смен: 7. Общая численность воспитанников: 1 338 человек.</w:t>
      </w:r>
    </w:p>
    <w:p>
      <w:pPr>
        <w:pStyle w:val="Heading1"/>
      </w:pPr>
      <w:r>
        <w:t>1. Общая характеристика направления</w:t>
      </w:r>
    </w:p>
    <w:p>
      <w:r>
        <w:rPr>
          <w:b w:val="0"/>
        </w:rPr>
        <w:t>В течение всей летней оздоровительной кампании 2026 года в МАУ «ЗОЛ «Медная горка» осуществлялась системная работа по формированию культуры здорового питания. Направление объединяло организацию рационального питания, просветительскую деятельность, практические занятия, кулинарные мастер-классы, трудовую и экологическую деятельность воспитанников.</w:t>
      </w:r>
    </w:p>
    <w:p>
      <w:r>
        <w:rPr>
          <w:b w:val="0"/>
        </w:rPr>
        <w:t>Особое место занимал образовательный проект «Здоровая кухня», в котором приняли участие 450 детей. Работа была направлена на понимание принципов сбалансированного рациона, развитие навыков осознанного выбора продуктов, соблюдение пищевой гигиены и формирование уважительного отношения к труду и продуктам питания.</w:t>
      </w:r>
    </w:p>
    <w:p>
      <w:pPr>
        <w:pStyle w:val="Heading1"/>
      </w:pPr>
      <w:r>
        <w:t>2. Цель и задачи</w:t>
      </w:r>
    </w:p>
    <w:p>
      <w:r>
        <w:rPr>
          <w:b w:val="0"/>
        </w:rPr>
        <w:t>Цель: создание условий для формирования у воспитанников осознанного отношения к рациональному питанию и развития практических навыков здорового пищевого поведения.</w:t>
      </w:r>
    </w:p>
    <w:p>
      <w:r>
        <w:rPr>
          <w:b w:val="0"/>
        </w:rPr>
        <w:t>1. Формировать представления о принципах рационального и разнообразного питания.</w:t>
      </w:r>
    </w:p>
    <w:p>
      <w:r>
        <w:rPr>
          <w:b w:val="0"/>
        </w:rPr>
        <w:t>2. Развивать знания о режиме питания, питьевом режиме, пищевой гигиене и безопасном обращении с продуктами.</w:t>
      </w:r>
    </w:p>
    <w:p>
      <w:r>
        <w:rPr>
          <w:b w:val="0"/>
        </w:rPr>
        <w:t>3. Вовлекать детей в практические кулинарные занятия и образовательный проект «Здоровая кухня».</w:t>
      </w:r>
    </w:p>
    <w:p>
      <w:r>
        <w:rPr>
          <w:b w:val="0"/>
        </w:rPr>
        <w:t>4. Развивать инициативу и самостоятельность через деятельность «Хранителей плодородия».</w:t>
      </w:r>
    </w:p>
    <w:p>
      <w:r>
        <w:rPr>
          <w:b w:val="0"/>
        </w:rPr>
        <w:t>5. Формировать бережное отношение к продуктам, природе и труду работников пищеблока.</w:t>
      </w:r>
    </w:p>
    <w:p>
      <w:r>
        <w:rPr>
          <w:b w:val="0"/>
        </w:rPr>
        <w:t>6. Создавать условия для переноса полученных знаний в повседневную жизнь.</w:t>
      </w:r>
    </w:p>
    <w:p>
      <w:pPr>
        <w:pStyle w:val="Heading1"/>
      </w:pPr>
      <w:r>
        <w:t>3. Организация деятельности</w:t>
      </w:r>
    </w:p>
    <w:p>
      <w:r>
        <w:rPr>
          <w:b w:val="0"/>
        </w:rPr>
        <w:t>Работа проводилась на протяжении семи летних смен и включала повседневное знакомство с культурой питания, тематические занятия, практические мастер-классы и проектные формы. При организации учитывались возрастные особенности воспитанников, требования гигиены и безопасности. Участие в образовательном проекте не следует отождествлять с общей численностью детей, получавших питание в лагере.</w:t>
      </w:r>
    </w:p>
    <w:p>
      <w:pPr>
        <w:pStyle w:val="Heading1"/>
      </w:pPr>
      <w:r>
        <w:t>4. Основные формы и содержание работы</w:t>
      </w:r>
    </w:p>
    <w:p>
      <w:pPr>
        <w:pStyle w:val="Heading2"/>
      </w:pPr>
      <w:r>
        <w:t>4.1. Организация рационального питания и воспитание пищевой культуры</w:t>
      </w:r>
    </w:p>
    <w:p>
      <w:r>
        <w:rPr>
          <w:b w:val="0"/>
        </w:rPr>
        <w:t>В повседневной жизни лагеря уделялось внимание регулярности и разнообразию питания, соблюдению гигиены, культуре поведения за столом и бережному отношению к продуктам. Воспитанники знакомились с ролью различных групп продуктов и значением полноценного питания для роста, активности и самочувствия.</w:t>
      </w:r>
    </w:p>
    <w:p>
      <w:pPr>
        <w:pStyle w:val="Heading2"/>
      </w:pPr>
      <w:r>
        <w:t>4.2. Образовательный проект «Здоровая кухня»</w:t>
      </w:r>
    </w:p>
    <w:p>
      <w:r>
        <w:rPr>
          <w:b w:val="0"/>
        </w:rPr>
        <w:t>Проект объединял тематические занятия, беседы, практические задания и кулинарные мастер-классы. Дети обсуждали состав продуктов, принципы сбалансированного рациона, знакомились с ингредиентами и осваивали доступные способы приготовления блюд. Общее число участников проекта за летнюю кампанию — 450 человек.</w:t>
      </w:r>
    </w:p>
    <w:p>
      <w:pPr>
        <w:pStyle w:val="Heading2"/>
      </w:pPr>
      <w:r>
        <w:t>4.3. Кулинарные мастер-классы и практическая деятельность</w:t>
      </w:r>
    </w:p>
    <w:p>
      <w:r>
        <w:rPr>
          <w:b w:val="0"/>
        </w:rPr>
        <w:t>Практические занятия создавали условия для развития самостоятельности, аккуратности, сотрудничества и навыков безопасной работы с пищевыми продуктами. Практический формат способствовал закреплению знаний через личный опыт.</w:t>
      </w:r>
    </w:p>
    <w:p>
      <w:pPr>
        <w:pStyle w:val="Heading2"/>
      </w:pPr>
      <w:r>
        <w:t>4.4. Детское самоуправление «Хранители плодородия»</w:t>
      </w:r>
    </w:p>
    <w:p>
      <w:r>
        <w:rPr>
          <w:b w:val="0"/>
        </w:rPr>
        <w:t>Воспитанники знакомились с выращиванием растений, уходом за зеленью и овощными культурами на экспериментальном огороде. Выращенная зелень использовалась для «витаминного стола». Деятельность связывала вопросы питания, экологического воспитания и уважения к труду.</w:t>
      </w:r>
    </w:p>
    <w:p>
      <w:pPr>
        <w:pStyle w:val="Heading2"/>
      </w:pPr>
      <w:r>
        <w:t>4.5. Образовательные материалы и закрепление знаний</w:t>
      </w:r>
    </w:p>
    <w:p>
      <w:r>
        <w:rPr>
          <w:b w:val="0"/>
        </w:rPr>
        <w:t>Рабочие тетради, рецепты и тематические задания помогали закреплять представления о полезных пищевых привычках и способствовали переносу практического опыта в семейную повседневность.</w:t>
      </w:r>
    </w:p>
    <w:p>
      <w:pPr>
        <w:pStyle w:val="Heading1"/>
      </w:pPr>
      <w:r>
        <w:t>5. Количественная характеристика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Показатель</w:t>
            </w:r>
          </w:p>
        </w:tc>
        <w:tc>
          <w:tcPr>
            <w:tcW w:type="dxa" w:w="4844"/>
          </w:tcPr>
          <w:p>
            <w:r>
              <w:t>Значение</w:t>
            </w:r>
          </w:p>
        </w:tc>
      </w:tr>
      <w:tr>
        <w:tc>
          <w:tcPr>
            <w:tcW w:type="dxa" w:w="4844"/>
          </w:tcPr>
          <w:p>
            <w:r>
              <w:t>Отчётный период</w:t>
            </w:r>
          </w:p>
        </w:tc>
        <w:tc>
          <w:tcPr>
            <w:tcW w:type="dxa" w:w="4844"/>
          </w:tcPr>
          <w:p>
            <w:r>
              <w:t>27.05–09.09.2026</w:t>
            </w:r>
          </w:p>
        </w:tc>
      </w:tr>
      <w:tr>
        <w:tc>
          <w:tcPr>
            <w:tcW w:type="dxa" w:w="4844"/>
          </w:tcPr>
          <w:p>
            <w:r>
              <w:t>Количество летних смен</w:t>
            </w:r>
          </w:p>
        </w:tc>
        <w:tc>
          <w:tcPr>
            <w:tcW w:type="dxa" w:w="4844"/>
          </w:tcPr>
          <w:p>
            <w:r>
              <w:t>7</w:t>
            </w:r>
          </w:p>
        </w:tc>
      </w:tr>
      <w:tr>
        <w:tc>
          <w:tcPr>
            <w:tcW w:type="dxa" w:w="4844"/>
          </w:tcPr>
          <w:p>
            <w:r>
              <w:t>Общая численность воспитанников</w:t>
            </w:r>
          </w:p>
        </w:tc>
        <w:tc>
          <w:tcPr>
            <w:tcW w:type="dxa" w:w="4844"/>
          </w:tcPr>
          <w:p>
            <w:r>
              <w:t>1 338 человек</w:t>
            </w:r>
          </w:p>
        </w:tc>
      </w:tr>
      <w:tr>
        <w:tc>
          <w:tcPr>
            <w:tcW w:type="dxa" w:w="4844"/>
          </w:tcPr>
          <w:p>
            <w:r>
              <w:t>Участники проекта «Здоровая кухня»</w:t>
            </w:r>
          </w:p>
        </w:tc>
        <w:tc>
          <w:tcPr>
            <w:tcW w:type="dxa" w:w="4844"/>
          </w:tcPr>
          <w:p>
            <w:r>
              <w:t>450 человек</w:t>
            </w:r>
          </w:p>
        </w:tc>
      </w:tr>
      <w:tr>
        <w:tc>
          <w:tcPr>
            <w:tcW w:type="dxa" w:w="4844"/>
          </w:tcPr>
          <w:p>
            <w:r>
              <w:t>Доля участников проекта от общего контингента</w:t>
            </w:r>
          </w:p>
        </w:tc>
        <w:tc>
          <w:tcPr>
            <w:tcW w:type="dxa" w:w="4844"/>
          </w:tcPr>
          <w:p>
            <w:r>
              <w:t>33,6%</w:t>
            </w:r>
          </w:p>
        </w:tc>
      </w:tr>
      <w:tr>
        <w:tc>
          <w:tcPr>
            <w:tcW w:type="dxa" w:w="4844"/>
          </w:tcPr>
          <w:p>
            <w:r>
              <w:t>Воспитанники, не учтённые как участники проекта</w:t>
            </w:r>
          </w:p>
        </w:tc>
        <w:tc>
          <w:tcPr>
            <w:tcW w:type="dxa" w:w="4844"/>
          </w:tcPr>
          <w:p>
            <w:r>
              <w:t>888 человек (66,4%)</w:t>
            </w:r>
          </w:p>
        </w:tc>
      </w:tr>
      <w:tr>
        <w:tc>
          <w:tcPr>
            <w:tcW w:type="dxa" w:w="4844"/>
          </w:tcPr>
          <w:p>
            <w:r>
              <w:t>Средняя численность воспитанников за смену</w:t>
            </w:r>
          </w:p>
        </w:tc>
        <w:tc>
          <w:tcPr>
            <w:tcW w:type="dxa" w:w="4844"/>
          </w:tcPr>
          <w:p>
            <w:r>
              <w:t>≈191,1 человека</w:t>
            </w:r>
          </w:p>
        </w:tc>
      </w:tr>
      <w:tr>
        <w:tc>
          <w:tcPr>
            <w:tcW w:type="dxa" w:w="4844"/>
          </w:tcPr>
          <w:p>
            <w:r>
              <w:t>Среднее число участников проекта на смену</w:t>
            </w:r>
          </w:p>
        </w:tc>
        <w:tc>
          <w:tcPr>
            <w:tcW w:type="dxa" w:w="4844"/>
          </w:tcPr>
          <w:p>
            <w:r>
              <w:t>≈64,3 человека (расчётное)</w:t>
            </w:r>
          </w:p>
        </w:tc>
      </w:tr>
    </w:tbl>
    <w:p>
      <w:r>
        <w:rPr>
          <w:b w:val="0"/>
        </w:rPr>
        <w:t>Расчёт охвата проекта: 450 / 1 338 × 100% = 33,63%, округлённо 33,6%. Среднее значение 64,3 участника на смену — арифметический показатель, а не фактическое число участников в каждой отдельной смене.</w:t>
      </w:r>
    </w:p>
    <w:p>
      <w:r>
        <w:drawing>
          <wp:inline xmlns:a="http://schemas.openxmlformats.org/drawingml/2006/main" xmlns:pic="http://schemas.openxmlformats.org/drawingml/2006/picture">
            <wp:extent cx="5472000" cy="17783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od_chart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72000" cy="1778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6. Анализ результатов реализации</w:t>
      </w:r>
    </w:p>
    <w:p>
      <w:r>
        <w:rPr>
          <w:b w:val="0"/>
        </w:rPr>
        <w:t>Системность. Работа по формированию культуры питания включалась в содержание всех семи смен.</w:t>
      </w:r>
    </w:p>
    <w:p>
      <w:r>
        <w:rPr>
          <w:b w:val="0"/>
        </w:rPr>
        <w:t>Практико-ориентированность. Знания закреплялись через кулинарные мастер-классы, задания и непосредственную деятельность детей.</w:t>
      </w:r>
    </w:p>
    <w:p>
      <w:r>
        <w:rPr>
          <w:b w:val="0"/>
        </w:rPr>
        <w:t>Детская инициатива. Деятельность «Хранителей плодородия» создавала возможности для самостоятельного участия в полезных делах.</w:t>
      </w:r>
    </w:p>
    <w:p>
      <w:r>
        <w:rPr>
          <w:b w:val="0"/>
        </w:rPr>
        <w:t>Межпредметность. Связаны здоровьесберегающие, экологические, трудовые и воспитательные задачи.</w:t>
      </w:r>
    </w:p>
    <w:p>
      <w:r>
        <w:rPr>
          <w:b w:val="0"/>
        </w:rPr>
        <w:t>Масштаб проекта. В «Здоровую кухню» вовлечены 450 детей — около трети общего контингента летней кампании.</w:t>
      </w:r>
    </w:p>
    <w:p>
      <w:pPr>
        <w:pStyle w:val="Heading1"/>
      </w:pPr>
      <w:r>
        <w:t>7. Оценка выполнения цели и задач</w:t>
      </w:r>
    </w:p>
    <w:p>
      <w:r>
        <w:rPr>
          <w:b w:val="0"/>
        </w:rPr>
        <w:t>По итогам кампании организационные и содержательные задачи направления реализованы: работа по культуре питания велась на протяжении семи смен, организованы образовательные и практические формы, обеспечено участие воспитанников в проекте «Здоровая кухня» и деятельности «Хранителей плодородия». Цель в части создания образовательных и воспитательных условий достигнута.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44"/>
        <w:gridCol w:w="4844"/>
      </w:tblGrid>
      <w:tr>
        <w:tc>
          <w:tcPr>
            <w:tcW w:type="dxa" w:w="4844"/>
          </w:tcPr>
          <w:p>
            <w:r>
              <w:t>Задача</w:t>
            </w:r>
          </w:p>
        </w:tc>
        <w:tc>
          <w:tcPr>
            <w:tcW w:type="dxa" w:w="4844"/>
          </w:tcPr>
          <w:p>
            <w:r>
              <w:t>Оценка</w:t>
            </w:r>
          </w:p>
        </w:tc>
      </w:tr>
      <w:tr>
        <w:tc>
          <w:tcPr>
            <w:tcW w:type="dxa" w:w="4844"/>
          </w:tcPr>
          <w:p>
            <w:r>
              <w:t>Системная работа в течение ЛОК</w:t>
            </w:r>
          </w:p>
        </w:tc>
        <w:tc>
          <w:tcPr>
            <w:tcW w:type="dxa" w:w="4844"/>
          </w:tcPr>
          <w:p>
            <w:r>
              <w:t>Выполнена</w:t>
            </w:r>
          </w:p>
        </w:tc>
      </w:tr>
      <w:tr>
        <w:tc>
          <w:tcPr>
            <w:tcW w:type="dxa" w:w="4844"/>
          </w:tcPr>
          <w:p>
            <w:r>
              <w:t>Тематическое просвещение</w:t>
            </w:r>
          </w:p>
        </w:tc>
        <w:tc>
          <w:tcPr>
            <w:tcW w:type="dxa" w:w="4844"/>
          </w:tcPr>
          <w:p>
            <w:r>
              <w:t>Реализовано</w:t>
            </w:r>
          </w:p>
        </w:tc>
      </w:tr>
      <w:tr>
        <w:tc>
          <w:tcPr>
            <w:tcW w:type="dxa" w:w="4844"/>
          </w:tcPr>
          <w:p>
            <w:r>
              <w:t>Практические кулинарные занятия</w:t>
            </w:r>
          </w:p>
        </w:tc>
        <w:tc>
          <w:tcPr>
            <w:tcW w:type="dxa" w:w="4844"/>
          </w:tcPr>
          <w:p>
            <w:r>
              <w:t>Реализованы</w:t>
            </w:r>
          </w:p>
        </w:tc>
      </w:tr>
      <w:tr>
        <w:tc>
          <w:tcPr>
            <w:tcW w:type="dxa" w:w="4844"/>
          </w:tcPr>
          <w:p>
            <w:r>
              <w:t>Детская инициатива и экспериментальный огород</w:t>
            </w:r>
          </w:p>
        </w:tc>
        <w:tc>
          <w:tcPr>
            <w:tcW w:type="dxa" w:w="4844"/>
          </w:tcPr>
          <w:p>
            <w:r>
              <w:t>Реализованы</w:t>
            </w:r>
          </w:p>
        </w:tc>
      </w:tr>
      <w:tr>
        <w:tc>
          <w:tcPr>
            <w:tcW w:type="dxa" w:w="4844"/>
          </w:tcPr>
          <w:p>
            <w:r>
              <w:t>Вовлечение в проект «Здоровая кухня»</w:t>
            </w:r>
          </w:p>
        </w:tc>
        <w:tc>
          <w:tcPr>
            <w:tcW w:type="dxa" w:w="4844"/>
          </w:tcPr>
          <w:p>
            <w:r>
              <w:t>450 участников</w:t>
            </w:r>
          </w:p>
        </w:tc>
      </w:tr>
      <w:tr>
        <w:tc>
          <w:tcPr>
            <w:tcW w:type="dxa" w:w="4844"/>
          </w:tcPr>
          <w:p>
            <w:r>
              <w:t>Подтверждение устойчивого изменения пищевых привычек</w:t>
            </w:r>
          </w:p>
        </w:tc>
        <w:tc>
          <w:tcPr>
            <w:tcW w:type="dxa" w:w="4844"/>
          </w:tcPr>
          <w:p>
            <w:r>
              <w:t>Требует диагностики</w:t>
            </w:r>
          </w:p>
        </w:tc>
      </w:tr>
    </w:tbl>
    <w:p>
      <w:pPr>
        <w:pStyle w:val="Heading1"/>
      </w:pPr>
      <w:r>
        <w:t>8. Оценка эффективности реализации направления (в процентах)</w:t>
      </w:r>
    </w:p>
    <w:p>
      <w:r>
        <w:rPr>
          <w:b w:val="0"/>
        </w:rPr>
        <w:t>Для оценки использованы подтверждённые параметры кампании и заявленные количественные результаты проекта. Организационная эффективность не тождественна доказанному изменению пищевого поведения.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30"/>
        <w:gridCol w:w="3230"/>
        <w:gridCol w:w="3230"/>
      </w:tblGrid>
      <w:tr>
        <w:tc>
          <w:tcPr>
            <w:tcW w:type="dxa" w:w="3230"/>
          </w:tcPr>
          <w:p>
            <w:r>
              <w:t>Показатель</w:t>
            </w:r>
          </w:p>
        </w:tc>
        <w:tc>
          <w:tcPr>
            <w:tcW w:type="dxa" w:w="3230"/>
          </w:tcPr>
          <w:p>
            <w:r>
              <w:t>Расчёт</w:t>
            </w:r>
          </w:p>
        </w:tc>
        <w:tc>
          <w:tcPr>
            <w:tcW w:type="dxa" w:w="3230"/>
          </w:tcPr>
          <w:p>
            <w:r>
              <w:t>Результат</w:t>
            </w:r>
          </w:p>
        </w:tc>
      </w:tr>
      <w:tr>
        <w:tc>
          <w:tcPr>
            <w:tcW w:type="dxa" w:w="3230"/>
          </w:tcPr>
          <w:p>
            <w:r>
              <w:t>Доля смен с реализацией направления</w:t>
            </w:r>
          </w:p>
        </w:tc>
        <w:tc>
          <w:tcPr>
            <w:tcW w:type="dxa" w:w="3230"/>
          </w:tcPr>
          <w:p>
            <w:r>
              <w:t>7 / 7 × 100%</w:t>
            </w:r>
          </w:p>
        </w:tc>
        <w:tc>
          <w:tcPr>
            <w:tcW w:type="dxa" w:w="3230"/>
          </w:tcPr>
          <w:p>
            <w:r>
              <w:t>100%</w:t>
            </w:r>
          </w:p>
        </w:tc>
      </w:tr>
      <w:tr>
        <w:tc>
          <w:tcPr>
            <w:tcW w:type="dxa" w:w="3230"/>
          </w:tcPr>
          <w:p>
            <w:r>
              <w:t>Охват проектом «Здоровая кухня»</w:t>
            </w:r>
          </w:p>
        </w:tc>
        <w:tc>
          <w:tcPr>
            <w:tcW w:type="dxa" w:w="3230"/>
          </w:tcPr>
          <w:p>
            <w:r>
              <w:t>450 / 1 338 × 100%</w:t>
            </w:r>
          </w:p>
        </w:tc>
        <w:tc>
          <w:tcPr>
            <w:tcW w:type="dxa" w:w="3230"/>
          </w:tcPr>
          <w:p>
            <w:r>
              <w:t>33,6%</w:t>
            </w:r>
          </w:p>
        </w:tc>
      </w:tr>
      <w:tr>
        <w:tc>
          <w:tcPr>
            <w:tcW w:type="dxa" w:w="3230"/>
          </w:tcPr>
          <w:p>
            <w:r>
              <w:t>Доля контингента вне учёта проекта</w:t>
            </w:r>
          </w:p>
        </w:tc>
        <w:tc>
          <w:tcPr>
            <w:tcW w:type="dxa" w:w="3230"/>
          </w:tcPr>
          <w:p>
            <w:r>
              <w:t>888 / 1 338 × 100%</w:t>
            </w:r>
          </w:p>
        </w:tc>
        <w:tc>
          <w:tcPr>
            <w:tcW w:type="dxa" w:w="3230"/>
          </w:tcPr>
          <w:p>
            <w:r>
              <w:t>66,4%</w:t>
            </w:r>
          </w:p>
        </w:tc>
      </w:tr>
      <w:tr>
        <w:tc>
          <w:tcPr>
            <w:tcW w:type="dxa" w:w="3230"/>
          </w:tcPr>
          <w:p>
            <w:r>
              <w:t>Реализация описанных основных форм работы</w:t>
            </w:r>
          </w:p>
        </w:tc>
        <w:tc>
          <w:tcPr>
            <w:tcW w:type="dxa" w:w="3230"/>
          </w:tcPr>
          <w:p>
            <w:r>
              <w:t>5 / 5 × 100%</w:t>
            </w:r>
          </w:p>
        </w:tc>
        <w:tc>
          <w:tcPr>
            <w:tcW w:type="dxa" w:w="3230"/>
          </w:tcPr>
          <w:p>
            <w:r>
              <w:t>100%*</w:t>
            </w:r>
          </w:p>
        </w:tc>
      </w:tr>
    </w:tbl>
    <w:p>
      <w:r>
        <w:rPr>
          <w:b w:val="0"/>
        </w:rPr>
        <w:t>* Показатель 100% по пяти формам отражает наличие всех описанных форм деятельности в отчёте (питание и пищевая культура; «Здоровая кухня»; мастер-классы; «Хранители плодородия»; образовательные материалы). Он не означает стопроцентного индивидуального участия детей в каждой форме.</w:t>
      </w:r>
    </w:p>
    <w:p>
      <w:r>
        <w:rPr>
          <w:b w:val="0"/>
        </w:rPr>
        <w:t>Интерпретация эффективности: 100% смен охвачены направлением, а 33,6% всего контингента получили дополнительный практико-образовательный опыт в проекте «Здоровая кухня». Это свидетельствует о значимом масштабе реализации проекта. Долю детей, изменивших привычки питания, повысивших уровень знаний или освоивших конкретные навыки, без результатов входной и итоговой диагностики определить нельзя.</w:t>
      </w:r>
    </w:p>
    <w:p>
      <w:pPr>
        <w:pStyle w:val="Heading1"/>
      </w:pPr>
      <w:r>
        <w:t>9. Перспективы на 2027 год</w:t>
      </w:r>
    </w:p>
    <w:p>
      <w:r>
        <w:rPr>
          <w:b w:val="0"/>
        </w:rPr>
        <w:t>1. Сохранить направление культуры здорового питания во всех лагерных сменах.</w:t>
      </w:r>
    </w:p>
    <w:p>
      <w:r>
        <w:rPr>
          <w:b w:val="0"/>
        </w:rPr>
        <w:t>2. Расширять участие в проекте «Здоровая кухня» с учётом возрастных групп и ресурсов лагеря.</w:t>
      </w:r>
    </w:p>
    <w:p>
      <w:r>
        <w:rPr>
          <w:b w:val="0"/>
        </w:rPr>
        <w:t>3. Разработать единые карточки рецептов, рабочие листы и задания для самостоятельной работы.</w:t>
      </w:r>
    </w:p>
    <w:p>
      <w:r>
        <w:rPr>
          <w:b w:val="0"/>
        </w:rPr>
        <w:t>4. Развивать деятельность «Хранителей плодородия» и экспериментального огорода.</w:t>
      </w:r>
    </w:p>
    <w:p>
      <w:r>
        <w:rPr>
          <w:b w:val="0"/>
        </w:rPr>
        <w:t>5. Ввести учёт уникальных участников по сменам и видам мероприятий.</w:t>
      </w:r>
    </w:p>
    <w:p>
      <w:r>
        <w:rPr>
          <w:b w:val="0"/>
        </w:rPr>
        <w:t>6. Проводить короткие входные и итоговые опросы о знаниях и пищевых привычках.</w:t>
      </w:r>
    </w:p>
    <w:p>
      <w:r>
        <w:rPr>
          <w:b w:val="0"/>
        </w:rPr>
        <w:t>7. Анализировать обратную связь воспитанников и педагогов для улучшения программы.</w:t>
      </w:r>
    </w:p>
    <w:p>
      <w:pPr>
        <w:pStyle w:val="Heading1"/>
      </w:pPr>
      <w:r>
        <w:t>10. Заключение</w:t>
      </w:r>
    </w:p>
    <w:p>
      <w:r>
        <w:rPr>
          <w:b w:val="0"/>
        </w:rPr>
        <w:t>В летнюю оздоровительную кампанию 2026 года МАУ «ЗОЛ «Медная горка» обеспечило реализацию направления «Культура здорового питания» на протяжении всех семи смен при общей численности 1 338 воспитанников. В проекте «Здоровая кухня» приняли участие 450 детей, что составило 33,6% общего контингента. Комплекс мероприятий включал просвещение, практические занятия, детское самоуправление и работу экспериментального огорода.</w:t>
      </w:r>
    </w:p>
    <w:p>
      <w:r>
        <w:rPr>
          <w:b w:val="0"/>
        </w:rPr>
        <w:t>Поставленные организационные и содержательные задачи выполнены; созданы условия для формирования осознанного отношения к питанию и практических навыков. Дальнейшая оценка устойчивого образовательного и поведенческого эффекта потребует индивидуального учёта и диагностики.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02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>МАУ «ЗОЛ «Медная горка» · ЛОК 2026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t>МАУ «ЗОЛ «Медная горка»  |  Аналитические материалы ЛОК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6503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BF5C1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