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АНАЛИТИЧЕСКИЙ ОТЧЁТ</w:t>
      </w:r>
    </w:p>
    <w:p>
      <w:pPr>
        <w:jc w:val="center"/>
      </w:pPr>
      <w:r>
        <w:rPr>
          <w:b/>
          <w:sz w:val="22"/>
        </w:rPr>
        <w:t>о реализации направления «Двигательная активность и физическое развитие»</w:t>
      </w:r>
    </w:p>
    <w:p>
      <w:pPr>
        <w:jc w:val="center"/>
      </w:pPr>
      <w:r>
        <w:rPr>
          <w:b/>
          <w:sz w:val="22"/>
        </w:rPr>
        <w:t>в период летней оздоровительной кампании 2026 года</w:t>
      </w:r>
    </w:p>
    <w:p>
      <w:pPr>
        <w:jc w:val="center"/>
      </w:pPr>
      <w:r>
        <w:rPr>
          <w:b/>
          <w:sz w:val="22"/>
        </w:rPr>
        <w:t>МАУ «ЗОЛ «Медная горка»</w:t>
      </w:r>
    </w:p>
    <w:p>
      <w:r>
        <w:t>Отчётный период: 27 мая — 9 сентября 2026 года. Количество летних смен: 7. Общая численность воспитанников: 1 338 человек.</w:t>
      </w:r>
    </w:p>
    <w:p>
      <w:pPr>
        <w:pStyle w:val="Heading1"/>
      </w:pPr>
      <w:r>
        <w:t>1. Общая характеристика направления</w:t>
      </w:r>
    </w:p>
    <w:p>
      <w:r>
        <w:t>В период летней оздоровительной кампании 2026 года физкультурно-оздоровительная деятельность МАУ «ЗОЛ «Медная горка» осуществлялась на протяжении всех семи летних смен. Двигательная активность включалась в распорядок дня, отрядную и общелагерную деятельность и была направлена на укрепление здоровья, развитие физических качеств, формирование интереса к физической культуре и спорту.</w:t>
      </w:r>
    </w:p>
    <w:p>
      <w:r>
        <w:t>Содержание направления объединяло ежедневную зарядку, подвижные игры, спортивные часы, соревнования и чемпионаты, проект «Спартакиада», проект «Гонка героев — Аэробум», встречи со спортсменами и церемонии награждения. Форматы учитывали возраст и возможности воспитанников.</w:t>
      </w:r>
    </w:p>
    <w:p>
      <w:pPr>
        <w:pStyle w:val="Heading1"/>
      </w:pPr>
      <w:r>
        <w:t>2. Цель и задачи</w:t>
      </w:r>
    </w:p>
    <w:p>
      <w:r>
        <w:t>Цель: создание условий для физического развития воспитанников, повышения их двигательной активности и формирования устойчивой положительной мотивации к занятиям физической культурой и спортом.</w:t>
      </w:r>
    </w:p>
    <w:p>
      <w:r>
        <w:t>• Организовать регулярную двигательную активность в течение всех лагерных смен.</w:t>
      </w:r>
    </w:p>
    <w:p>
      <w:r>
        <w:t>• Развивать силу, быстроту, ловкость, выносливость и координацию через доступные спортивные форматы.</w:t>
      </w:r>
    </w:p>
    <w:p>
      <w:r>
        <w:t>• Вовлекать воспитанников с различным уровнем подготовки в спортивные игры, соревнования и проекты.</w:t>
      </w:r>
    </w:p>
    <w:p>
      <w:r>
        <w:t>• Формировать навыки командного взаимодействия, честной игры и уважения к сопернику.</w:t>
      </w:r>
    </w:p>
    <w:p>
      <w:r>
        <w:t>• Создавать условия для личных достижений, инициативы и положительного эмоционального опыта.</w:t>
      </w:r>
    </w:p>
    <w:p>
      <w:r>
        <w:t>• Популяризировать занятия спортом посредством встреч со спортсменами и поощрения достижений.</w:t>
      </w:r>
    </w:p>
    <w:p>
      <w:r>
        <w:t>• Обеспечивать безопасность физкультурно-оздоровительных мероприятий с учётом возрастных и индивидуальных особенностей.</w:t>
      </w:r>
    </w:p>
    <w:p>
      <w:pPr>
        <w:pStyle w:val="Heading1"/>
      </w:pPr>
      <w:r>
        <w:t>3. Организация физкультурно-оздоровительной деятельности</w:t>
      </w:r>
    </w:p>
    <w:p>
      <w:r>
        <w:t>Мероприятия проводились в течение всей летней оздоровительной кампании (27.05–09.09.2026) в рамках распорядка дня и программ семи смен. Двигательная активность была представлена как ежедневными, так и событийными форматами. Массовые соревнования сочетались с игровыми занятиями и личными спортивными испытаниями.</w:t>
      </w:r>
    </w:p>
    <w:p>
      <w:pPr>
        <w:pStyle w:val="Heading1"/>
      </w:pPr>
      <w:r>
        <w:t>4. Основные формы и содержание работы</w:t>
      </w:r>
    </w:p>
    <w:p>
      <w:pPr>
        <w:pStyle w:val="Heading2"/>
      </w:pPr>
      <w:r>
        <w:t>4.1. Ежедневная двигательная активность</w:t>
      </w:r>
    </w:p>
    <w:p>
      <w:r>
        <w:t>Утренняя зарядка, спортивные часы, прогулки, подвижные игры и активные досуговые мероприятия способствовали включению движения в повседневную жизнь лагеря. Результат: созданы организационные условия для регулярной физической активности воспитанников.</w:t>
      </w:r>
    </w:p>
    <w:p>
      <w:pPr>
        <w:pStyle w:val="Heading2"/>
      </w:pPr>
      <w:r>
        <w:t>4.2. Проект «Спартакиада»</w:t>
      </w:r>
    </w:p>
    <w:p>
      <w:r>
        <w:t>В рамках спартакиады проводились испытания по бегу на 60 метров, прыжкам в длину с места, отжиманиям, подтягиваниям, упражнениям на пресс и прыжкам через скакалку. Учитывались возрастные группы и особенности дисциплин. В среднем спартакиада занимала около четырёх дней в каждой смене. Проводились «Весёлые старты» и другие командные испытания.</w:t>
      </w:r>
    </w:p>
    <w:p>
      <w:r>
        <w:t>Отдельным направлением стали чемпионаты по футболу, баскетболу и пионерболу; отдельные турниры продолжались около недели. Подведение итогов сопровождалось награждением победителей и призёров. Результат: создана среда для спортивной самореализации, командной поддержки и позитивного соревновательного опыта.</w:t>
      </w:r>
    </w:p>
    <w:p>
      <w:pPr>
        <w:pStyle w:val="Heading2"/>
      </w:pPr>
      <w:r>
        <w:t>4.3. Проект «Гонка героев — Аэробум»</w:t>
      </w:r>
    </w:p>
    <w:p>
      <w:r>
        <w:t>Спортивно-командный проект был ориентирован на развитие ловкости, выносливости, уверенности и взаимовыручки через совместное преодоление испытаний. Результат: расширены возможности вовлечения воспитанников в активные игровые форматы и командное взаимодействие.</w:t>
      </w:r>
    </w:p>
    <w:p>
      <w:pPr>
        <w:pStyle w:val="Heading2"/>
      </w:pPr>
      <w:r>
        <w:t>4.4. Спортивные чемпионаты и подвижные игры</w:t>
      </w:r>
    </w:p>
    <w:p>
      <w:r>
        <w:t>Футбол, баскетбол, пионербол, эстафеты и подвижные игры поддерживали интерес к систематическим занятиям спортом, способствовали развитию координации, быстроты реакции и навыков командной работы.</w:t>
      </w:r>
    </w:p>
    <w:p>
      <w:pPr>
        <w:pStyle w:val="Heading2"/>
      </w:pPr>
      <w:r>
        <w:t>4.5. Встречи со спортсменами и мотивационные мероприятия</w:t>
      </w:r>
    </w:p>
    <w:p>
      <w:r>
        <w:t>Встречи со спортсменами и представителями спортивного сообщества позволяли обсуждать роль тренировок, дисциплины, целеустремлённости и преодоления трудностей. Награждения и признание достижений поддерживали позитивную мотивацию к участию в спортивной жизни лагеря.</w:t>
      </w:r>
    </w:p>
    <w:p>
      <w:pPr>
        <w:pStyle w:val="Heading1"/>
      </w:pPr>
      <w:r>
        <w:t>5. Количественная характеристика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shd w:fill="DCE9DD"/>
          </w:tcPr>
          <w:p>
            <w:r>
              <w:rPr>
                <w:b/>
              </w:rPr>
              <w:t>Показатель</w:t>
            </w:r>
          </w:p>
        </w:tc>
        <w:tc>
          <w:tcPr>
            <w:tcW w:type="dxa" w:w="4844"/>
            <w:shd w:fill="DCE9DD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844"/>
          </w:tcPr>
          <w:p>
            <w:r>
              <w:t>Период реализации</w:t>
            </w:r>
          </w:p>
        </w:tc>
        <w:tc>
          <w:tcPr>
            <w:tcW w:type="dxa" w:w="4844"/>
          </w:tcPr>
          <w:p>
            <w:r>
              <w:t>27.05–09.09.2026</w:t>
            </w:r>
          </w:p>
        </w:tc>
      </w:tr>
      <w:tr>
        <w:tc>
          <w:tcPr>
            <w:tcW w:type="dxa" w:w="4844"/>
          </w:tcPr>
          <w:p>
            <w:r>
              <w:t>Количество смен</w:t>
            </w:r>
          </w:p>
        </w:tc>
        <w:tc>
          <w:tcPr>
            <w:tcW w:type="dxa" w:w="4844"/>
          </w:tcPr>
          <w:p>
            <w:r>
              <w:t>7</w:t>
            </w:r>
          </w:p>
        </w:tc>
      </w:tr>
      <w:tr>
        <w:tc>
          <w:tcPr>
            <w:tcW w:type="dxa" w:w="4844"/>
          </w:tcPr>
          <w:p>
            <w:r>
              <w:t>Общая численность воспитанников</w:t>
            </w:r>
          </w:p>
        </w:tc>
        <w:tc>
          <w:tcPr>
            <w:tcW w:type="dxa" w:w="4844"/>
          </w:tcPr>
          <w:p>
            <w:r>
              <w:t>1 338 человек</w:t>
            </w:r>
          </w:p>
        </w:tc>
      </w:tr>
      <w:tr>
        <w:tc>
          <w:tcPr>
            <w:tcW w:type="dxa" w:w="4844"/>
          </w:tcPr>
          <w:p>
            <w:r>
              <w:t>Средняя численность воспитанников на смену</w:t>
            </w:r>
          </w:p>
        </w:tc>
        <w:tc>
          <w:tcPr>
            <w:tcW w:type="dxa" w:w="4844"/>
          </w:tcPr>
          <w:p>
            <w:r>
              <w:t>≈191,1 человека</w:t>
            </w:r>
          </w:p>
        </w:tc>
      </w:tr>
      <w:tr>
        <w:tc>
          <w:tcPr>
            <w:tcW w:type="dxa" w:w="4844"/>
          </w:tcPr>
          <w:p>
            <w:r>
              <w:t>Охват проекта «Спартакиада»</w:t>
            </w:r>
          </w:p>
        </w:tc>
        <w:tc>
          <w:tcPr>
            <w:tcW w:type="dxa" w:w="4844"/>
          </w:tcPr>
          <w:p>
            <w:r>
              <w:t>≈94% (расчётно ≈1 258 человек)</w:t>
            </w:r>
          </w:p>
        </w:tc>
      </w:tr>
      <w:tr>
        <w:tc>
          <w:tcPr>
            <w:tcW w:type="dxa" w:w="4844"/>
          </w:tcPr>
          <w:p>
            <w:r>
              <w:t>Охват проекта «Гонка героев — Аэробум»</w:t>
            </w:r>
          </w:p>
        </w:tc>
        <w:tc>
          <w:tcPr>
            <w:tcW w:type="dxa" w:w="4844"/>
          </w:tcPr>
          <w:p>
            <w:r>
              <w:t>≈90% (расчётно ≈1 204 человека)</w:t>
            </w:r>
          </w:p>
        </w:tc>
      </w:tr>
      <w:tr>
        <w:tc>
          <w:tcPr>
            <w:tcW w:type="dxa" w:w="4844"/>
          </w:tcPr>
          <w:p>
            <w:r>
              <w:t>Средняя продолжительность спартакиады в смену</w:t>
            </w:r>
          </w:p>
        </w:tc>
        <w:tc>
          <w:tcPr>
            <w:tcW w:type="dxa" w:w="4844"/>
          </w:tcPr>
          <w:p>
            <w:r>
              <w:t>≈4 дня</w:t>
            </w:r>
          </w:p>
        </w:tc>
      </w:tr>
      <w:tr>
        <w:tc>
          <w:tcPr>
            <w:tcW w:type="dxa" w:w="4844"/>
          </w:tcPr>
          <w:p>
            <w:r>
              <w:t>Продолжительность отдельных чемпионатов</w:t>
            </w:r>
          </w:p>
        </w:tc>
        <w:tc>
          <w:tcPr>
            <w:tcW w:type="dxa" w:w="4844"/>
          </w:tcPr>
          <w:p>
            <w:r>
              <w:t>около недели</w:t>
            </w:r>
          </w:p>
        </w:tc>
      </w:tr>
    </w:tbl>
    <w:p>
      <w:r>
        <w:t>Показатели 94% и 90% используются как заявленные показатели охвата проектов; соответствующие численности рассчитаны от 1 338 воспитанников с округлением до целого. Участники проектов могут совпадать, поэтому складывать показатели охвата нельзя.</w:t>
      </w:r>
    </w:p>
    <w:p>
      <w:pPr>
        <w:pStyle w:val="Heading1"/>
      </w:pPr>
      <w:r>
        <w:t>6. Анализ результатов</w:t>
      </w:r>
    </w:p>
    <w:p>
      <w:r>
        <w:rPr>
          <w:b/>
        </w:rPr>
        <w:t>Системность.</w:t>
      </w:r>
      <w:r>
        <w:t xml:space="preserve"> Двигательная активность была включена в программы всех семи летних смен.</w:t>
      </w:r>
    </w:p>
    <w:p>
      <w:r>
        <w:rPr>
          <w:b/>
        </w:rPr>
        <w:t>Массовость.</w:t>
      </w:r>
      <w:r>
        <w:t xml:space="preserve"> Заявленные показатели участия в двух ключевых проектах отражают широкий охват воспитанников спортивными форматами.</w:t>
      </w:r>
    </w:p>
    <w:p>
      <w:r>
        <w:rPr>
          <w:b/>
        </w:rPr>
        <w:t>Вариативность.</w:t>
      </w:r>
      <w:r>
        <w:t xml:space="preserve"> Сочетание ежедневных занятий, нормативов, чемпионатов и командных испытаний позволяло учитывать разные интересы детей.</w:t>
      </w:r>
    </w:p>
    <w:p>
      <w:r>
        <w:rPr>
          <w:b/>
        </w:rPr>
        <w:t>Командное взаимодействие.</w:t>
      </w:r>
      <w:r>
        <w:t xml:space="preserve"> Игровые виды спорта и эстафеты создавали условия для взаимопомощи, соблюдения правил и уважения к соперникам.</w:t>
      </w:r>
    </w:p>
    <w:p>
      <w:r>
        <w:rPr>
          <w:b/>
        </w:rPr>
        <w:t>Мотивация.</w:t>
      </w:r>
      <w:r>
        <w:t xml:space="preserve"> Встречи со спортсменами, награждения и ситуации личного успеха поддерживали интерес к физической культуре.</w:t>
      </w:r>
    </w:p>
    <w:p>
      <w:pPr>
        <w:pStyle w:val="Heading1"/>
      </w:pPr>
      <w:r>
        <w:t>7. Оценка выполнения цели и задач</w:t>
      </w:r>
    </w:p>
    <w:p>
      <w:r>
        <w:t>По итогам кампании организационные и содержательные задачи направления выполнены в части проведения предусмотренных форм физкультурно-оздоровительной работы: ежедневной двигательной активности, массовых спортивных проектов, чемпионатов, командных игр и мотивационных мероприятий. Цель в части создания условий для физического развития и популяризации спорта достигнута.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shd w:fill="DCE9DD"/>
          </w:tcPr>
          <w:p>
            <w:r>
              <w:rPr>
                <w:b/>
              </w:rPr>
              <w:t>Задача</w:t>
            </w:r>
          </w:p>
        </w:tc>
        <w:tc>
          <w:tcPr>
            <w:tcW w:type="dxa" w:w="4844"/>
            <w:shd w:fill="DCE9DD"/>
          </w:tcPr>
          <w:p>
            <w:r>
              <w:rPr>
                <w:b/>
              </w:rPr>
              <w:t>Оценка</w:t>
            </w:r>
          </w:p>
        </w:tc>
      </w:tr>
      <w:tr>
        <w:tc>
          <w:tcPr>
            <w:tcW w:type="dxa" w:w="4844"/>
          </w:tcPr>
          <w:p>
            <w:r>
              <w:t>Систематическая организация двигательной активности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Проведение спортивных соревнований и проектов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Разнообразие спортивных дисциплин и форматов</w:t>
            </w:r>
          </w:p>
        </w:tc>
        <w:tc>
          <w:tcPr>
            <w:tcW w:type="dxa" w:w="4844"/>
          </w:tcPr>
          <w:p>
            <w:r>
              <w:t>Обеспечено</w:t>
            </w:r>
          </w:p>
        </w:tc>
      </w:tr>
      <w:tr>
        <w:tc>
          <w:tcPr>
            <w:tcW w:type="dxa" w:w="4844"/>
          </w:tcPr>
          <w:p>
            <w:r>
              <w:t>Командное взаимодействие и честная игра</w:t>
            </w:r>
          </w:p>
        </w:tc>
        <w:tc>
          <w:tcPr>
            <w:tcW w:type="dxa" w:w="4844"/>
          </w:tcPr>
          <w:p>
            <w:r>
              <w:t>Созданы условия</w:t>
            </w:r>
          </w:p>
        </w:tc>
      </w:tr>
      <w:tr>
        <w:tc>
          <w:tcPr>
            <w:tcW w:type="dxa" w:w="4844"/>
          </w:tcPr>
          <w:p>
            <w:r>
              <w:t>Мотивация через встречи и награждения</w:t>
            </w:r>
          </w:p>
        </w:tc>
        <w:tc>
          <w:tcPr>
            <w:tcW w:type="dxa" w:w="4844"/>
          </w:tcPr>
          <w:p>
            <w:r>
              <w:t>Обеспечена</w:t>
            </w:r>
          </w:p>
        </w:tc>
      </w:tr>
      <w:tr>
        <w:tc>
          <w:tcPr>
            <w:tcW w:type="dxa" w:w="4844"/>
          </w:tcPr>
          <w:p>
            <w:r>
              <w:t>Учёт индивидуального физического прогресса</w:t>
            </w:r>
          </w:p>
        </w:tc>
        <w:tc>
          <w:tcPr>
            <w:tcW w:type="dxa" w:w="4844"/>
          </w:tcPr>
          <w:p>
            <w:r>
              <w:t>Требует дополнительных данных</w:t>
            </w:r>
          </w:p>
        </w:tc>
      </w:tr>
    </w:tbl>
    <w:p>
      <w:pPr>
        <w:pStyle w:val="Heading1"/>
      </w:pPr>
      <w:r>
        <w:t>8. Оценка эффективности реализации направления (количественные показатели)</w:t>
      </w:r>
    </w:p>
    <w:p>
      <w:r>
        <w:t>Показатели ниже характеризуют организационный охват и массовость. Они не являются измерением прироста физических качеств, улучшения здоровья или долгосрочных привычек детей.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shd w:fill="DCE9DD"/>
          </w:tcPr>
          <w:p>
            <w:r>
              <w:rPr>
                <w:b/>
              </w:rPr>
              <w:t>Показатель</w:t>
            </w:r>
          </w:p>
        </w:tc>
        <w:tc>
          <w:tcPr>
            <w:tcW w:type="dxa" w:w="3230"/>
            <w:shd w:fill="DCE9DD"/>
          </w:tcPr>
          <w:p>
            <w:r>
              <w:rPr>
                <w:b/>
              </w:rPr>
              <w:t>Расчёт</w:t>
            </w:r>
          </w:p>
        </w:tc>
        <w:tc>
          <w:tcPr>
            <w:tcW w:type="dxa" w:w="3230"/>
            <w:shd w:fill="DCE9DD"/>
          </w:tcPr>
          <w:p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3230"/>
          </w:tcPr>
          <w:p>
            <w:r>
              <w:t>Охват летних смен физкультурно-оздоровительной работой</w:t>
            </w:r>
          </w:p>
        </w:tc>
        <w:tc>
          <w:tcPr>
            <w:tcW w:type="dxa" w:w="3230"/>
          </w:tcPr>
          <w:p>
            <w:r>
              <w:t>7 / 7 × 100%</w:t>
            </w:r>
          </w:p>
        </w:tc>
        <w:tc>
          <w:tcPr>
            <w:tcW w:type="dxa" w:w="3230"/>
          </w:tcPr>
          <w:p>
            <w:r>
              <w:t>100%</w:t>
            </w:r>
          </w:p>
        </w:tc>
      </w:tr>
      <w:tr>
        <w:tc>
          <w:tcPr>
            <w:tcW w:type="dxa" w:w="3230"/>
          </w:tcPr>
          <w:p>
            <w:r>
              <w:t>Заявленный охват «Спартакиады»</w:t>
            </w:r>
          </w:p>
        </w:tc>
        <w:tc>
          <w:tcPr>
            <w:tcW w:type="dxa" w:w="3230"/>
          </w:tcPr>
          <w:p>
            <w:r>
              <w:t>1 258 / 1 338 × 100%</w:t>
            </w:r>
          </w:p>
        </w:tc>
        <w:tc>
          <w:tcPr>
            <w:tcW w:type="dxa" w:w="3230"/>
          </w:tcPr>
          <w:p>
            <w:r>
              <w:t>≈94,0%</w:t>
            </w:r>
          </w:p>
        </w:tc>
      </w:tr>
      <w:tr>
        <w:tc>
          <w:tcPr>
            <w:tcW w:type="dxa" w:w="3230"/>
          </w:tcPr>
          <w:p>
            <w:r>
              <w:t>Заявленный охват «Гонки героев — Аэробум»</w:t>
            </w:r>
          </w:p>
        </w:tc>
        <w:tc>
          <w:tcPr>
            <w:tcW w:type="dxa" w:w="3230"/>
          </w:tcPr>
          <w:p>
            <w:r>
              <w:t>1 204 / 1 338 × 100%</w:t>
            </w:r>
          </w:p>
        </w:tc>
        <w:tc>
          <w:tcPr>
            <w:tcW w:type="dxa" w:w="3230"/>
          </w:tcPr>
          <w:p>
            <w:r>
              <w:t>≈90,0%</w:t>
            </w:r>
          </w:p>
        </w:tc>
      </w:tr>
      <w:tr>
        <w:tc>
          <w:tcPr>
            <w:tcW w:type="dxa" w:w="3230"/>
          </w:tcPr>
          <w:p>
            <w:r>
              <w:t>Доля воспитанников вне охвата «Спартакиады»</w:t>
            </w:r>
          </w:p>
        </w:tc>
        <w:tc>
          <w:tcPr>
            <w:tcW w:type="dxa" w:w="3230"/>
          </w:tcPr>
          <w:p>
            <w:r>
              <w:t>80 / 1 338 × 100%</w:t>
            </w:r>
          </w:p>
        </w:tc>
        <w:tc>
          <w:tcPr>
            <w:tcW w:type="dxa" w:w="3230"/>
          </w:tcPr>
          <w:p>
            <w:r>
              <w:t>≈6,0%</w:t>
            </w:r>
          </w:p>
        </w:tc>
      </w:tr>
      <w:tr>
        <w:tc>
          <w:tcPr>
            <w:tcW w:type="dxa" w:w="3230"/>
          </w:tcPr>
          <w:p>
            <w:r>
              <w:t>Доля воспитанников вне охвата «Гонки героев»</w:t>
            </w:r>
          </w:p>
        </w:tc>
        <w:tc>
          <w:tcPr>
            <w:tcW w:type="dxa" w:w="3230"/>
          </w:tcPr>
          <w:p>
            <w:r>
              <w:t>134 / 1 338 × 100%</w:t>
            </w:r>
          </w:p>
        </w:tc>
        <w:tc>
          <w:tcPr>
            <w:tcW w:type="dxa" w:w="3230"/>
          </w:tcPr>
          <w:p>
            <w:r>
              <w:t>≈10,0%</w:t>
            </w:r>
          </w:p>
        </w:tc>
      </w:tr>
    </w:tbl>
    <w:p>
      <w:r>
        <w:t>Среднее расчётное число участников на смену: «Спартакиада» — 1 258 / 7 ≈ 180 человек; «Гонка героев — Аэробум» — 1 204 / 7 ≈ 172 человека. Это средние по кампании, а не фактические показатели конкретных смен.</w:t>
      </w:r>
    </w:p>
    <w:p>
      <w:r>
        <w:t>Для оценки прироста физической подготовленности и изменения отношения к спорту в процентах потребуются протоколы нормативов, регистрационные ведомости и результаты входной/итоговой диагностики.</w:t>
      </w:r>
    </w:p>
    <w:p>
      <w:pPr>
        <w:pStyle w:val="Heading1"/>
      </w:pPr>
      <w:r>
        <w:t>9. Перспективы на 2027 год</w:t>
      </w:r>
    </w:p>
    <w:p>
      <w:r>
        <w:t>• Сохранить ежедневные двигательные активности в программах всех смен.</w:t>
      </w:r>
    </w:p>
    <w:p>
      <w:r>
        <w:t>• Развивать систему возрастных спортивных испытаний с едиными протоколами результатов.</w:t>
      </w:r>
    </w:p>
    <w:p>
      <w:r>
        <w:t>• Продолжить проекты «Спартакиада» и «Гонка героев — Аэробум».</w:t>
      </w:r>
    </w:p>
    <w:p>
      <w:r>
        <w:t>• Расширять доступные форматы для воспитанников с разным уровнем физической подготовки.</w:t>
      </w:r>
    </w:p>
    <w:p>
      <w:r>
        <w:t>• Вести раздельный учёт участников по сменам и видам активности без двойного счёта.</w:t>
      </w:r>
    </w:p>
    <w:p>
      <w:r>
        <w:t>• Ввести диагностику отношения к физической активности и отслеживание личного прогресса.</w:t>
      </w:r>
    </w:p>
    <w:p>
      <w:r>
        <w:t>• Продолжить встречи со спортсменами и практику поощрения спортивных достижений.</w:t>
      </w:r>
    </w:p>
    <w:p>
      <w:pPr>
        <w:pStyle w:val="Heading1"/>
      </w:pPr>
      <w:r>
        <w:t>10. Заключение</w:t>
      </w:r>
    </w:p>
    <w:p>
      <w:r>
        <w:t>В период летней оздоровительной кампании 2026 года при общей численности 1 338 воспитанников МАУ «ЗОЛ «Медная горка» обеспечило систематическую физкультурно-оздоровительную работу на протяжении семи летних смен. Воспитанники участвовали в ежедневной двигательной активности, спортивных нормативах, чемпионатах, командных играх и проектах «Спартакиада» и «Гонка героев — Аэробум».</w:t>
      </w:r>
    </w:p>
    <w:p>
      <w:r>
        <w:t>Заявленный охват двух ключевых проектов составил около 94% и 90% соответственно. Поставленные организационные и содержательные задачи реализованы. Для доказательной оценки долгосрочного здоровьесберегающего эффекта необходимо дополнить организационную статистику данными о физическом прогрессе и мотивации воспитанников.</w:t>
      </w:r>
    </w:p>
    <w:sectPr w:rsidR="00FC693F" w:rsidRPr="0006063C" w:rsidSect="00034616">
      <w:footerReference w:type="default" r:id="rId9"/>
      <w:pgSz w:w="12240" w:h="15840"/>
      <w:pgMar w:top="1134" w:right="1134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>МАУ «ЗОЛ «Медная горка» · ЛОК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54B3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54B3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54B3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