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32"/>
        </w:rPr>
        <w:t>АНАЛИТИЧЕСКИЙ ОТЧЕТ</w:t>
        <w:br/>
      </w:r>
      <w:r>
        <w:rPr>
          <w:rFonts w:ascii="Times New Roman" w:hAnsi="Times New Roman"/>
          <w:b/>
          <w:sz w:val="28"/>
        </w:rPr>
        <w:t>о работе отдела дополнительного образования</w:t>
        <w:br/>
        <w:t>МАУ «ЗОЛ «Медная горка»</w:t>
        <w:br/>
      </w:r>
      <w:r>
        <w:rPr>
          <w:rFonts w:ascii="Times New Roman" w:hAnsi="Times New Roman"/>
          <w:sz w:val="26"/>
        </w:rPr>
        <w:t>за летнюю оздоровительную кампанию 2026 года</w:t>
        <w:br/>
        <w:t>по итогам 6 летних смен</w:t>
      </w:r>
    </w:p>
    <w:p>
      <w:pPr>
        <w:pStyle w:val="Heading1"/>
        <w:spacing w:before="200" w:after="100"/>
      </w:pPr>
      <w:r>
        <w:t>1. Общая характеристика деятельности отдела</w:t>
      </w:r>
    </w:p>
    <w:p>
      <w:pPr>
        <w:spacing w:after="100"/>
        <w:ind w:firstLine="709"/>
        <w:jc w:val="both"/>
      </w:pPr>
      <w:r>
        <w:t>В период летней оздоровительной кампании 2026 года отдел дополнительного образования МАУ «ЗОЛ «Медная горка» осуществлял системную работу по организации содержательной, развивающей и практико-ориентированной занятости детей.</w:t>
      </w:r>
    </w:p>
    <w:p>
      <w:pPr>
        <w:spacing w:after="100"/>
        <w:ind w:firstLine="709"/>
        <w:jc w:val="both"/>
      </w:pPr>
      <w:r>
        <w:t>Деятельность отдела являлась составной частью единого образовательного и воспитательного пространства лагеря и была направлена на создание условий для раскрытия способностей и интересов детей, приобретения ими новых знаний и практических навыков, развития творческой инициативы, самостоятельности и расширения возможностей выбора деятельности в период пребывания в лагере.</w:t>
      </w:r>
    </w:p>
    <w:p>
      <w:pPr>
        <w:spacing w:after="100"/>
        <w:ind w:firstLine="709"/>
        <w:jc w:val="both"/>
      </w:pPr>
      <w:r>
        <w:t>Настоящий аналитический отчет сформирован по итогам работы отдела в течение шести летних смен 2026 года. За анализируемый период организована работа 32 групп, реализовано 8 дополнительных общеобразовательных программ по 5 направленностям: социально-гуманитарной, технической, художественной, естественнонаучной и физкультурно-спортивной.</w:t>
      </w:r>
    </w:p>
    <w:p>
      <w:pPr>
        <w:spacing w:after="100"/>
        <w:ind w:firstLine="709"/>
        <w:jc w:val="both"/>
      </w:pPr>
      <w:r>
        <w:t>Суммарная численность обучающихся по сформированным группам за шесть смен составила 2 158 человек, общий объем образовательной деятельности — 21 578 человеко-часов. Показатель численности является суммарным по сформированным группам и характеризует масштаб включенности воспитанников, а не количество уникальных детей.</w:t>
      </w:r>
    </w:p>
    <w:p>
      <w:pPr>
        <w:pStyle w:val="Heading1"/>
        <w:spacing w:before="200" w:after="100"/>
      </w:pPr>
      <w:r>
        <w:t>2. Основные показатели деятельности за 6 смен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6"/>
        <w:gridCol w:w="2536"/>
        <w:gridCol w:w="2536"/>
        <w:gridCol w:w="2536"/>
      </w:tblGrid>
      <w:tr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Смена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Количество групп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Суммарная численность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Человеко-часы</w:t>
            </w:r>
          </w:p>
        </w:tc>
      </w:tr>
      <w:tr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 смена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258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2577</w:t>
            </w:r>
          </w:p>
        </w:tc>
      </w:tr>
      <w:tr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2 смена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441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4410</w:t>
            </w:r>
          </w:p>
        </w:tc>
      </w:tr>
      <w:tr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3 смена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407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4070</w:t>
            </w:r>
          </w:p>
        </w:tc>
      </w:tr>
      <w:tr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4 смена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253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2530</w:t>
            </w:r>
          </w:p>
        </w:tc>
      </w:tr>
      <w:tr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5 смена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412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4123</w:t>
            </w:r>
          </w:p>
        </w:tc>
      </w:tr>
      <w:tr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6 смена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387</w:t>
            </w:r>
          </w:p>
        </w:tc>
        <w:tc>
          <w:tcPr>
            <w:tcW w:type="dxa" w:w="2536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3868</w:t>
            </w:r>
          </w:p>
        </w:tc>
      </w:tr>
    </w:tbl>
    <w:p>
      <w:pPr>
        <w:spacing w:after="100"/>
        <w:ind w:firstLine="709"/>
        <w:jc w:val="both"/>
      </w:pPr>
      <w:r>
        <w:t>В среднем за одну смену обеспечивалось 359,7 включения детей в группы дополнительного образования и около 3 596 человеко-часов образовательной деятельности. Максимальные показатели зафиксированы во 2-й летней смене: 6 групп, 441 обучающийся по суммарному учету и 4 410 человеко-часов.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35040" cy="329510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student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2951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sz w:val="20"/>
        </w:rPr>
        <w:t>Рисунок 1. Динамика численности обучающихся по сменам</w:t>
      </w:r>
    </w:p>
    <w:p>
      <w:pPr>
        <w:spacing w:after="100"/>
        <w:ind w:firstLine="709"/>
        <w:jc w:val="both"/>
      </w:pPr>
      <w:r>
        <w:t>Диаграмма показывает выраженную связь между количеством действующих групп и общей включенностью детей. В сменах, где функционировало по шесть групп, суммарная численность составляла от 387 до 441 человека, тогда как при четырех группах — 253–258 человек.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35040" cy="329510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hour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2951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sz w:val="20"/>
        </w:rPr>
        <w:t>Рисунок 2. Динамика объема образовательной деятельности</w:t>
      </w:r>
    </w:p>
    <w:p>
      <w:pPr>
        <w:spacing w:after="100"/>
        <w:ind w:firstLine="709"/>
        <w:jc w:val="both"/>
      </w:pPr>
      <w:r>
        <w:t>Динамика человеко-часов практически повторяет динамику численности обучающихся. Наибольший объем образовательной деятельности пришелся на 2-ю смену — 4 410 человеко-часов.</w:t>
      </w:r>
    </w:p>
    <w:p>
      <w:pPr>
        <w:pStyle w:val="Heading1"/>
        <w:spacing w:before="200" w:after="100"/>
      </w:pPr>
      <w:r>
        <w:t>3. Анализ деятельности по направленностям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Направленность</w:t>
            </w:r>
          </w:p>
        </w:tc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Численность</w:t>
            </w:r>
          </w:p>
        </w:tc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Доля, %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Социально-гуманитарная</w:t>
            </w:r>
          </w:p>
        </w:tc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1344</w:t>
            </w:r>
          </w:p>
        </w:tc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62.3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Техническая</w:t>
            </w:r>
          </w:p>
        </w:tc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378</w:t>
            </w:r>
          </w:p>
        </w:tc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17.5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Художественная</w:t>
            </w:r>
          </w:p>
        </w:tc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168</w:t>
            </w:r>
          </w:p>
        </w:tc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7.8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Естественнонаучная</w:t>
            </w:r>
          </w:p>
        </w:tc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139</w:t>
            </w:r>
          </w:p>
        </w:tc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6.4</w:t>
            </w:r>
          </w:p>
        </w:tc>
      </w:tr>
      <w:tr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Физкультурно-спортивная</w:t>
            </w:r>
          </w:p>
        </w:tc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129</w:t>
            </w:r>
          </w:p>
        </w:tc>
        <w:tc>
          <w:tcPr>
            <w:tcW w:type="dxa" w:w="338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6.0</w:t>
            </w:r>
          </w:p>
        </w:tc>
      </w:tr>
    </w:tbl>
    <w:p>
      <w:pPr>
        <w:spacing w:after="100"/>
        <w:ind w:firstLine="709"/>
        <w:jc w:val="both"/>
      </w:pPr>
      <w:r>
        <w:t>Доминирующее положение занимает социально-гуманитарная направленность — 1 344 человека, или 62,3 % суммарной численности. Второй по масштабу является техническая направленность — 378 человек, или 17,5 %. Полученное распределение показывает междисциплинарный характер системы дополнительного образования при выраженном преобладании социально-гуманитарного блока.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35040" cy="439565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direction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3956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sz w:val="20"/>
        </w:rPr>
        <w:t>Рисунок 3. Структура дополнительного образования по направленностям</w:t>
      </w:r>
    </w:p>
    <w:p>
      <w:pPr>
        <w:spacing w:after="100"/>
        <w:ind w:firstLine="709"/>
        <w:jc w:val="both"/>
      </w:pPr>
      <w:r>
        <w:t>Структура наглядно показывает преобладание социально-гуманитарной направленности. Это подтверждает целесообразность сохранения востребованного ядра программ при постепенном расширении технического, естественнонаучного и художественного образовательных блоков.</w:t>
      </w:r>
    </w:p>
    <w:p>
      <w:pPr>
        <w:pStyle w:val="Heading1"/>
        <w:spacing w:before="200" w:after="100"/>
      </w:pPr>
      <w:r>
        <w:t>4. Анализ дополнительных общеобразовательных программ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1"/>
        <w:gridCol w:w="5071"/>
      </w:tblGrid>
      <w:tr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Программа</w:t>
            </w:r>
          </w:p>
        </w:tc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Численность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Домовенок</w:t>
            </w:r>
          </w:p>
        </w:tc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1344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Робототехника</w:t>
            </w:r>
          </w:p>
        </w:tc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314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Чудеса в пробирке</w:t>
            </w:r>
          </w:p>
        </w:tc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139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В ритме танца</w:t>
            </w:r>
          </w:p>
        </w:tc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112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ДОО «Мир шахмат»</w:t>
            </w:r>
          </w:p>
        </w:tc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Основы бумажного моделирования</w:t>
            </w:r>
          </w:p>
        </w:tc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Подвижные игры</w:t>
            </w:r>
          </w:p>
        </w:tc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64</w:t>
            </w:r>
          </w:p>
        </w:tc>
      </w:tr>
      <w:tr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Деревообработка</w:t>
            </w:r>
          </w:p>
        </w:tc>
        <w:tc>
          <w:tcPr>
            <w:tcW w:type="dxa" w:w="507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</w:tr>
    </w:tbl>
    <w:p>
      <w:pPr>
        <w:spacing w:after="100"/>
        <w:ind w:firstLine="709"/>
        <w:jc w:val="both"/>
      </w:pPr>
      <w:r>
        <w:t>Наиболее масштабной стала программа «Домовенок», в рамках которой за летний период суммарно обучались 1 344 человека. Второе место занимает «Робототехника» — 314 человек. Программы «Чудеса в пробирке» и «В ритме танца» также демонстрировали устойчивую востребованность в сменах, в которых они реализовывались.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35040" cy="387025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program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870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sz w:val="20"/>
        </w:rPr>
        <w:t>Рисунок 4. Востребованность дополнительных общеобразовательных программ</w:t>
      </w:r>
    </w:p>
    <w:p>
      <w:pPr>
        <w:spacing w:after="100"/>
        <w:ind w:firstLine="709"/>
        <w:jc w:val="both"/>
      </w:pPr>
      <w:r>
        <w:t>Сопоставление программ показывает, что основу системы составляет программа «Домовенок», объединяющая несколько устойчивых объединений. Одновременно высокие показатели «Робототехники» подтверждают перспективность технического направления для дальнейшего развития.</w:t>
      </w:r>
    </w:p>
    <w:p>
      <w:pPr>
        <w:pStyle w:val="Heading1"/>
        <w:spacing w:before="200" w:after="100"/>
      </w:pPr>
      <w:r>
        <w:t>5. Анализ востребованности объединений</w:t>
      </w:r>
    </w:p>
    <w:p>
      <w:pPr>
        <w:spacing w:after="100"/>
        <w:ind w:firstLine="709"/>
        <w:jc w:val="both"/>
      </w:pPr>
      <w:r>
        <w:t>Одним из наиболее востребованных объединений являлось «Из грязи в князи»: 95 человек во 2-й смене, 87 — в 3-й, 92 — в 5-й и 76 — в 6-й. Суммарно объединение охватило 350 человек.</w:t>
      </w:r>
    </w:p>
    <w:p>
      <w:pPr>
        <w:spacing w:after="100"/>
        <w:ind w:firstLine="709"/>
        <w:jc w:val="both"/>
      </w:pPr>
      <w:r>
        <w:t>Стабильную востребованность демонстрировали «Светлица» и «Наши руки не для скуки», функционировавшие во всех шести сменах. Наличие объединений, сохраняющих интерес воспитанников на протяжении всего летнего периода, свидетельствует о правильно выбранном содержании деятельности и позволяет рассматривать их как устойчивое ядро системы дополнительного образования лагеря.</w:t>
      </w:r>
    </w:p>
    <w:p>
      <w:pPr>
        <w:spacing w:after="100"/>
        <w:ind w:firstLine="709"/>
        <w:jc w:val="both"/>
      </w:pPr>
      <w:r>
        <w:t>Высокие показатели робототехники позволяют аналогичным образом рассматривать техническое творчество как одно из перспективных направлений дальнейшего развития.</w:t>
      </w:r>
    </w:p>
    <w:p>
      <w:pPr>
        <w:pStyle w:val="Heading1"/>
        <w:spacing w:before="200" w:after="100"/>
      </w:pPr>
      <w:r>
        <w:t>6. Стабильность и вариативность образовательного предложения</w:t>
      </w:r>
    </w:p>
    <w:p>
      <w:pPr>
        <w:spacing w:after="100"/>
        <w:ind w:firstLine="709"/>
        <w:jc w:val="both"/>
      </w:pPr>
      <w:r>
        <w:t>Особенностью организации работы отдела стало сочетание стабильного ядра программ и сменяемых образовательных предложений. На протяжении нескольких смен сохранялись наиболее востребованные объединения социально-гуманитарной направленности. Одновременно детям предлагались робототехника, танцевальная деятельность, химические эксперименты, шахматы, бумажное моделирование, подвижные игры и деревообработка.</w:t>
      </w:r>
    </w:p>
    <w:p>
      <w:pPr>
        <w:spacing w:after="100"/>
        <w:ind w:firstLine="709"/>
        <w:jc w:val="both"/>
      </w:pPr>
      <w:r>
        <w:t>Такая модель эффективна для условий детского оздоровительного лагеря: она позволяет сохранять проверенные практики и одновременно обновлять образовательное пространство, предоставляя детям разных смен различные возможности для выбора.</w:t>
      </w:r>
    </w:p>
    <w:p>
      <w:pPr>
        <w:pStyle w:val="Heading1"/>
        <w:spacing w:before="200" w:after="100"/>
      </w:pPr>
      <w:r>
        <w:t>7. Роль дополнительного образования в воспитательной системе лагеря</w:t>
      </w:r>
    </w:p>
    <w:p>
      <w:pPr>
        <w:spacing w:after="100"/>
        <w:ind w:firstLine="709"/>
        <w:jc w:val="both"/>
      </w:pPr>
      <w:r>
        <w:t>Дополнительное образование в условиях детского лагеря выполняет более широкую функцию, чем освоение конкретной образовательной программы. Занятия создают пространство для добровольного выбора деятельности, самореализации, общения и приобретения нового опыта.</w:t>
      </w:r>
    </w:p>
    <w:p>
      <w:pPr>
        <w:spacing w:after="100"/>
        <w:ind w:firstLine="709"/>
        <w:jc w:val="both"/>
      </w:pPr>
      <w:r>
        <w:t>Технические программы развивают логическое и пространственное мышление, навыки конструирования и интерес к современным технологиям; естественнонаучные занятия — исследовательское поведение и интерес к экспериментированию; художественные программы — творческое самовыражение; физкультурно-спортивные — двигательную активность и навыки взаимодействия; социально-гуманитарные — практические, коммуникативные, творческие и социально значимые компетенции.</w:t>
      </w:r>
    </w:p>
    <w:p>
      <w:pPr>
        <w:spacing w:after="100"/>
        <w:ind w:firstLine="709"/>
        <w:jc w:val="both"/>
      </w:pPr>
      <w:r>
        <w:t>Таким образом, дополнительное образование выступает частью единой развивающей среды лагеря.</w:t>
      </w:r>
    </w:p>
    <w:p>
      <w:pPr>
        <w:pStyle w:val="Heading1"/>
        <w:spacing w:before="200" w:after="100"/>
      </w:pPr>
      <w:r>
        <w:t>8. Ключевые результаты ЛОК-2026</w:t>
      </w:r>
    </w:p>
    <w:p>
      <w:pPr>
        <w:ind w:left="283"/>
      </w:pPr>
      <w:r>
        <w:rPr>
          <w:b/>
        </w:rPr>
        <w:t>• 32 сформированные группы;</w:t>
      </w:r>
    </w:p>
    <w:p>
      <w:pPr>
        <w:ind w:left="283"/>
      </w:pPr>
      <w:r>
        <w:rPr>
          <w:b/>
        </w:rPr>
        <w:t>• 8 реализованных дополнительных общеобразовательных программ;</w:t>
      </w:r>
    </w:p>
    <w:p>
      <w:pPr>
        <w:ind w:left="283"/>
      </w:pPr>
      <w:r>
        <w:rPr>
          <w:b/>
        </w:rPr>
        <w:t>• 5 направленностей дополнительного образования;</w:t>
      </w:r>
    </w:p>
    <w:p>
      <w:pPr>
        <w:ind w:left="283"/>
      </w:pPr>
      <w:r>
        <w:rPr>
          <w:b/>
        </w:rPr>
        <w:t>• 2 158 человек — суммарная численность обучающихся по группам;</w:t>
      </w:r>
    </w:p>
    <w:p>
      <w:pPr>
        <w:ind w:left="283"/>
      </w:pPr>
      <w:r>
        <w:rPr>
          <w:b/>
        </w:rPr>
        <w:t>• 21 578 человеко-часов образовательной деятельности.</w:t>
      </w:r>
    </w:p>
    <w:p>
      <w:pPr>
        <w:spacing w:after="100"/>
        <w:ind w:firstLine="709"/>
        <w:jc w:val="both"/>
      </w:pPr>
      <w:r>
        <w:t>Работа отдела характеризовалась устойчивостью на протяжении всех анализируемых смен, сохранением востребованных объединений, вариативностью образовательного предложения и возможностью добровольного выбора детьми интересующей деятельности.</w:t>
      </w:r>
    </w:p>
    <w:p>
      <w:pPr>
        <w:pStyle w:val="Heading1"/>
        <w:spacing w:before="200" w:after="100"/>
      </w:pPr>
      <w:r>
        <w:t>9. Проблемные зоны и направления развития</w:t>
      </w:r>
    </w:p>
    <w:p>
      <w:pPr>
        <w:pStyle w:val="Heading2"/>
        <w:spacing w:before="200" w:after="100"/>
      </w:pPr>
      <w:r>
        <w:t>9.1. Баланс направленностей</w:t>
      </w:r>
    </w:p>
    <w:p>
      <w:pPr>
        <w:spacing w:after="100"/>
        <w:ind w:firstLine="709"/>
        <w:jc w:val="both"/>
      </w:pPr>
      <w:r>
        <w:t>На социально-гуманитарную направленность приходится 62,3 % суммарной численности. При сохранении востребованных действующих объединений целесообразно постепенно увеличивать представленность других направленностей, прежде всего технической, естественнонаучной и художественной.</w:t>
      </w:r>
    </w:p>
    <w:p>
      <w:pPr>
        <w:pStyle w:val="Heading2"/>
        <w:spacing w:before="200" w:after="100"/>
      </w:pPr>
      <w:r>
        <w:t>9.2. Расширение естественнонаучного и технического блоков</w:t>
      </w:r>
    </w:p>
    <w:p>
      <w:pPr>
        <w:spacing w:after="100"/>
        <w:ind w:firstLine="709"/>
        <w:jc w:val="both"/>
      </w:pPr>
      <w:r>
        <w:t>Стабильные показатели программы «Чудеса в пробирке» и высокая востребованность «Робототехники» позволяют рассматривать эти направления как перспективные точки роста. Целесообразно расширять перечень лабораторных, экологических, исследовательских, инженерных и конструкторских программ.</w:t>
      </w:r>
    </w:p>
    <w:p>
      <w:pPr>
        <w:pStyle w:val="Heading2"/>
        <w:spacing w:before="200" w:after="100"/>
      </w:pPr>
      <w:r>
        <w:t>9.3. Сохранение вариативности</w:t>
      </w:r>
    </w:p>
    <w:p>
      <w:pPr>
        <w:spacing w:after="100"/>
        <w:ind w:firstLine="709"/>
        <w:jc w:val="both"/>
      </w:pPr>
      <w:r>
        <w:t>Максимальные показатели включенности наблюдались в сменах, где функционировало по шесть групп. Следовательно, увеличение числа доступных образовательных траекторий создает дополнительные возможности для включения детей и учета разнообразия их интересов.</w:t>
      </w:r>
    </w:p>
    <w:p>
      <w:pPr>
        <w:pStyle w:val="Heading2"/>
        <w:spacing w:before="200" w:after="100"/>
      </w:pPr>
      <w:r>
        <w:t>9.4. Совершенствование системы мониторинга</w:t>
      </w:r>
    </w:p>
    <w:p>
      <w:pPr>
        <w:spacing w:after="100"/>
        <w:ind w:firstLine="709"/>
        <w:jc w:val="both"/>
      </w:pPr>
      <w:r>
        <w:t>Для более глубокого анализа в последующие периоды целесообразно дополнительно фиксировать количество уникальных детей, долю охвата от общей численности смены, количество детей, выбравших два и более объединения, фактическое число занятий, среднюю посещаемость, возрастную структуру участников, удовлетворенность детей и количество созданных итоговых продуктов.</w:t>
      </w:r>
    </w:p>
    <w:p>
      <w:pPr>
        <w:pStyle w:val="Heading1"/>
        <w:spacing w:before="200" w:after="100"/>
      </w:pPr>
      <w:r>
        <w:t>10. Итоговая оценка эффективности работы отдела</w:t>
      </w:r>
    </w:p>
    <w:p>
      <w:pPr>
        <w:spacing w:after="100"/>
        <w:ind w:firstLine="709"/>
        <w:jc w:val="both"/>
      </w:pPr>
      <w:r>
        <w:t>Анализ результатов шести летних смен позволяет оценить деятельность отдела дополнительного образования МАУ «ЗОЛ «Медная горка» в период летней оздоровительной кампании 2026 года как стабильную, системную и результативную.</w:t>
      </w:r>
    </w:p>
    <w:p>
      <w:pPr>
        <w:spacing w:after="100"/>
        <w:ind w:firstLine="709"/>
        <w:jc w:val="both"/>
      </w:pPr>
      <w:r>
        <w:t>Отдел обеспечил функционирование 32 групп в рамках восьми дополнительных общеобразовательных программ и пяти направленностей. Общий объем деятельности составил 21 578 человеко-часов, а суммарная численность обучающихся по сформированным группам — 2 158 человек.</w:t>
      </w:r>
    </w:p>
    <w:p>
      <w:pPr>
        <w:spacing w:after="100"/>
        <w:ind w:firstLine="709"/>
        <w:jc w:val="both"/>
      </w:pPr>
      <w:r>
        <w:t>Особенно значимым результатом является сохранение дополнительного образования в качестве постоянно действующего элемента образовательной среды лагеря на протяжении всех анализируемых смен. Полученные показатели подтверждают устойчивый интерес детей к практико-ориентированным, техническим, творческим и социально-гуманитарным формам деятельности.</w:t>
      </w:r>
    </w:p>
    <w:p>
      <w:pPr>
        <w:pStyle w:val="Heading1"/>
        <w:spacing w:before="200" w:after="100"/>
      </w:pPr>
      <w:r>
        <w:t>11. Общий вывод</w:t>
      </w:r>
    </w:p>
    <w:p>
      <w:pPr>
        <w:spacing w:after="100"/>
        <w:ind w:firstLine="709"/>
        <w:jc w:val="both"/>
      </w:pPr>
      <w:r>
        <w:t>По итогам шести летних смен 2026 года отдел дополнительного образования МАУ «ЗОЛ «Медная горка» обеспечил устойчивую и вариативную систему дополнительного образования детей, включенную в общую воспитательную среду лагеря.</w:t>
      </w:r>
    </w:p>
    <w:p>
      <w:pPr>
        <w:spacing w:after="100"/>
        <w:ind w:firstLine="709"/>
        <w:jc w:val="both"/>
      </w:pPr>
      <w:r>
        <w:t>За шесть смен было сформировано 32 группы, реализовано 8 программ, а суммарный объем составил 2 158 обучающихся по группам и 21 578 человеко-часов.</w:t>
      </w:r>
    </w:p>
    <w:p>
      <w:pPr>
        <w:spacing w:after="100"/>
        <w:ind w:firstLine="709"/>
        <w:jc w:val="both"/>
      </w:pPr>
      <w:r>
        <w:t>Наиболее сильными сторонами деятельности отдела являются устойчивость работы на протяжении летней кампании, наличие востребованного ядра объединений, разнообразие видов деятельности и сочетание традиционных творческих практик с техническим и естественнонаучным дополнительным образованием.</w:t>
      </w:r>
    </w:p>
    <w:p>
      <w:pPr>
        <w:spacing w:after="100"/>
        <w:ind w:firstLine="709"/>
        <w:jc w:val="both"/>
      </w:pPr>
      <w:r>
        <w:t>Таким образом, деятельность отдела дополнительного образования в период летней оздоровительной кампании 2026 года может быть признана эффективной и значимой для формирования единого развивающего пространства лагеря, обеспечивающего ребенку возможность выбора, освоения новых видов деятельности, приобретения практического опыта и реализации собственных интересов.</w:t>
      </w:r>
    </w:p>
    <w:sectPr w:rsidR="00FC693F" w:rsidRPr="0006063C" w:rsidSect="00034616">
      <w:pgSz w:w="12240" w:h="15840"/>
      <w:pgMar w:top="1020" w:right="85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