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2"/>
        </w:rPr>
        <w:t>АНАЛИТИЧЕСКИЙ ОТЧЕТ</w:t>
        <w:br/>
      </w:r>
      <w:r>
        <w:rPr>
          <w:rFonts w:ascii="Times New Roman" w:hAnsi="Times New Roman"/>
          <w:b/>
          <w:sz w:val="28"/>
        </w:rPr>
        <w:t>о работе отдела дополнительного образования</w:t>
        <w:br/>
        <w:t>МАУ «ЗОЛ «Медная горка»</w:t>
        <w:br/>
      </w:r>
      <w:r>
        <w:rPr>
          <w:rFonts w:ascii="Times New Roman" w:hAnsi="Times New Roman"/>
          <w:b w:val="0"/>
          <w:sz w:val="26"/>
        </w:rPr>
        <w:t>за летнюю оздоровительную кампанию 2025 года</w:t>
        <w:br/>
        <w:t>по итогам 6 летних смен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1. Общая характеристика деятельности отдела</w:t>
      </w:r>
    </w:p>
    <w:p>
      <w:pPr>
        <w:spacing w:after="80"/>
        <w:ind w:firstLine="709"/>
        <w:jc w:val="both"/>
      </w:pPr>
      <w:r>
        <w:t>В период летней оздоровительной кампании 2025 года отдел дополнительного образования МАУ «ЗОЛ «Медная горка» осуществлял системную работу по организации содержательной, развивающей и практико-ориентированной занятости детей. Деятельность отдела являлась частью единого образовательного и воспитательного пространства лагеря и обеспечивала возможность выбора детьми различных видов творческой, технической, естественнонаучной, спортивной и социально-гуманитарной деятельности.</w:t>
      </w:r>
    </w:p>
    <w:p>
      <w:pPr>
        <w:spacing w:after="80"/>
        <w:ind w:firstLine="709"/>
        <w:jc w:val="both"/>
      </w:pPr>
      <w:r>
        <w:t>Настоящий аналитический отчет подготовлен по итогам шести летних смен 2025 года на основании актуализированной сводной таблицы. За анализируемый период организована работа 33 групп, реализовано 9 дополнительных общеобразовательных программ по 5 направленностям дополнительного образования.</w:t>
      </w:r>
    </w:p>
    <w:p>
      <w:pPr>
        <w:spacing w:after="80"/>
        <w:ind w:firstLine="709"/>
        <w:jc w:val="both"/>
      </w:pPr>
      <w:r>
        <w:t>Суммарная численность обучающихся по сформированным группам составила 2 068 человек, общий объем образовательной деятельности — 20 691 человеко-час. Показатель численности является суммарным по группам: один ребенок мог посещать более одного объединения, поэтому он характеризует масштаб включенности воспитанников, а не число уникальных детей.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2. Основные показатели деятельности за 6 смен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6"/>
        <w:gridCol w:w="2536"/>
        <w:gridCol w:w="2536"/>
        <w:gridCol w:w="2536"/>
      </w:tblGrid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Смена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Количество групп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Суммарная численность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Человеко-часы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 летняя смена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351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3514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 летняя смена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375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3748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 летняя смена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311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3113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4 летняя смена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301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3003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5 летняя смена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393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3935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6 летняя смена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337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3378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ИТОГО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33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2068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20691</w:t>
            </w:r>
          </w:p>
        </w:tc>
      </w:tr>
    </w:tbl>
    <w:p>
      <w:pPr>
        <w:spacing w:after="80"/>
        <w:ind w:firstLine="709"/>
        <w:jc w:val="both"/>
      </w:pPr>
      <w:r>
        <w:t>В среднем за одну смену суммарная численность обучающихся по группам составляла 344.7 человека, а средний объем образовательной деятельности — около 3448 человеко-часов. Наибольшая численность зафиксирована в 5-й летней смене — 393 человека; максимальный объем деятельности также пришелся на 5-ю смену — 3 935 человеко-часов.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89320" cy="31354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135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1. Динамика численности обучающихся по сменам</w:t>
      </w:r>
    </w:p>
    <w:p>
      <w:pPr>
        <w:spacing w:after="80"/>
        <w:ind w:firstLine="709"/>
        <w:jc w:val="both"/>
      </w:pPr>
      <w:r>
        <w:t>Динамика показывает, что наиболее высокие показатели включенности детей отмечены во 2-й и 5-й сменах. После снижения в 3-й и 4-й сменах в 5-й смене наблюдался выраженный рост, а в 6-й смене показатель сохранился на достаточно высоком уровне.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89320" cy="31354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ur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3135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2. Динамика объема образовательной деятельности</w:t>
      </w:r>
    </w:p>
    <w:p>
      <w:pPr>
        <w:spacing w:after="80"/>
        <w:ind w:firstLine="709"/>
        <w:jc w:val="both"/>
      </w:pPr>
      <w:r>
        <w:t>Объем человеко-часов в целом повторяет динамику численности обучающихся. Максимум зафиксирован в 5-й смене — 3 935 человеко-часов, минимальное значение — в 4-й смене: 3 003 человеко-часа.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3. Анализ деятельности по сменам</w:t>
      </w:r>
    </w:p>
    <w:p>
      <w:pPr>
        <w:pStyle w:val="Heading2"/>
        <w:spacing w:before="180" w:after="80"/>
      </w:pPr>
      <w:r>
        <w:rPr>
          <w:rFonts w:ascii="Times New Roman" w:hAnsi="Times New Roman"/>
        </w:rPr>
        <w:t>1-я летняя смена</w:t>
      </w:r>
    </w:p>
    <w:p>
      <w:pPr>
        <w:spacing w:after="80"/>
        <w:ind w:firstLine="709"/>
        <w:jc w:val="both"/>
      </w:pPr>
      <w:r>
        <w:t>В 1-ю летнюю смену функционировало 5 групп. Суммарная численность обучающихся составила 351 человек  объем образовательной деятельности — 3 514 человеко-часов.</w:t>
      </w:r>
    </w:p>
    <w:p>
      <w:pPr>
        <w:spacing w:after="80"/>
        <w:ind w:firstLine="709"/>
        <w:jc w:val="both"/>
      </w:pPr>
      <w:r>
        <w:t>Наиболее высокий показатель в смене продемонстрировало объединение «Чудеса в пробирке» — 82 человек. Состав образовательного предложения включал 4 направленности, что обеспечивало детям возможность выбора разных видов деятельности.</w:t>
      </w:r>
    </w:p>
    <w:p>
      <w:pPr>
        <w:pStyle w:val="Heading2"/>
        <w:spacing w:before="180" w:after="80"/>
      </w:pPr>
      <w:r>
        <w:rPr>
          <w:rFonts w:ascii="Times New Roman" w:hAnsi="Times New Roman"/>
        </w:rPr>
        <w:t>2-я летняя смена</w:t>
      </w:r>
    </w:p>
    <w:p>
      <w:pPr>
        <w:spacing w:after="80"/>
        <w:ind w:firstLine="709"/>
        <w:jc w:val="both"/>
      </w:pPr>
      <w:r>
        <w:t>В 2-ю летнюю смену функционировало 6 групп. Суммарная численность обучающихся составила 375 человек  объем образовательной деятельности — 3 748 человеко-часов.</w:t>
      </w:r>
    </w:p>
    <w:p>
      <w:pPr>
        <w:spacing w:after="80"/>
        <w:ind w:firstLine="709"/>
        <w:jc w:val="both"/>
      </w:pPr>
      <w:r>
        <w:t>Наиболее высокий показатель в смене продемонстрировало объединение «Чудеса в пробирке» — 77 человек. Состав образовательного предложения включал 4 направленности, что обеспечивало детям возможность выбора разных видов деятельности.</w:t>
      </w:r>
    </w:p>
    <w:p>
      <w:pPr>
        <w:pStyle w:val="Heading2"/>
        <w:spacing w:before="180" w:after="80"/>
      </w:pPr>
      <w:r>
        <w:rPr>
          <w:rFonts w:ascii="Times New Roman" w:hAnsi="Times New Roman"/>
        </w:rPr>
        <w:t>3-я летняя смена</w:t>
      </w:r>
    </w:p>
    <w:p>
      <w:pPr>
        <w:spacing w:after="80"/>
        <w:ind w:firstLine="709"/>
        <w:jc w:val="both"/>
      </w:pPr>
      <w:r>
        <w:t>В 3-ю летнюю смену функционировало 6 групп. Суммарная численность обучающихся составила 311 человек  объем образовательной деятельности — 3 113 человеко-часов.</w:t>
      </w:r>
    </w:p>
    <w:p>
      <w:pPr>
        <w:spacing w:after="80"/>
        <w:ind w:firstLine="709"/>
        <w:jc w:val="both"/>
      </w:pPr>
      <w:r>
        <w:t>Наиболее высокий показатель в смене продемонстрировало объединение «Наши руки не для скуки» — 68 человек. Состав образовательного предложения включал 3 направленности, что обеспечивало детям возможность выбора разных видов деятельности.</w:t>
      </w:r>
    </w:p>
    <w:p>
      <w:pPr>
        <w:pStyle w:val="Heading2"/>
        <w:spacing w:before="180" w:after="80"/>
      </w:pPr>
      <w:r>
        <w:rPr>
          <w:rFonts w:ascii="Times New Roman" w:hAnsi="Times New Roman"/>
        </w:rPr>
        <w:t>4-я летняя смена</w:t>
      </w:r>
    </w:p>
    <w:p>
      <w:pPr>
        <w:spacing w:after="80"/>
        <w:ind w:firstLine="709"/>
        <w:jc w:val="both"/>
      </w:pPr>
      <w:r>
        <w:t>В 4-ю летнюю смену функционировало 5 групп. Суммарная численность обучающихся составила 301 человек  объем образовательной деятельности — 3 003 человеко-часов.</w:t>
      </w:r>
    </w:p>
    <w:p>
      <w:pPr>
        <w:spacing w:after="80"/>
        <w:ind w:firstLine="709"/>
        <w:jc w:val="both"/>
      </w:pPr>
      <w:r>
        <w:t>Наиболее высокий показатель в смене продемонстрировало объединение «Мир шахмат» — 64 человек. Состав образовательного предложения включал 4 направленности, что обеспечивало детям возможность выбора разных видов деятельности.</w:t>
      </w:r>
    </w:p>
    <w:p>
      <w:pPr>
        <w:pStyle w:val="Heading2"/>
        <w:spacing w:before="180" w:after="80"/>
      </w:pPr>
      <w:r>
        <w:rPr>
          <w:rFonts w:ascii="Times New Roman" w:hAnsi="Times New Roman"/>
        </w:rPr>
        <w:t>5-я летняя смена</w:t>
      </w:r>
    </w:p>
    <w:p>
      <w:pPr>
        <w:spacing w:after="80"/>
        <w:ind w:firstLine="709"/>
        <w:jc w:val="both"/>
      </w:pPr>
      <w:r>
        <w:t>В 5-ю летнюю смену функционировало 6 групп. Суммарная численность обучающихся составила 393 человек  объем образовательной деятельности — 3 935 человеко-часов.</w:t>
      </w:r>
    </w:p>
    <w:p>
      <w:pPr>
        <w:spacing w:after="80"/>
        <w:ind w:firstLine="709"/>
        <w:jc w:val="both"/>
      </w:pPr>
      <w:r>
        <w:t>Наиболее высокий показатель в смене продемонстрировало объединение «Подвижные игры» — 75 человек. Состав образовательного предложения включал 4 направленности, что обеспечивало детям возможность выбора разных видов деятельности.</w:t>
      </w:r>
    </w:p>
    <w:p>
      <w:pPr>
        <w:pStyle w:val="Heading2"/>
        <w:spacing w:before="180" w:after="80"/>
      </w:pPr>
      <w:r>
        <w:rPr>
          <w:rFonts w:ascii="Times New Roman" w:hAnsi="Times New Roman"/>
        </w:rPr>
        <w:t>6-я летняя смена</w:t>
      </w:r>
    </w:p>
    <w:p>
      <w:pPr>
        <w:spacing w:after="80"/>
        <w:ind w:firstLine="709"/>
        <w:jc w:val="both"/>
      </w:pPr>
      <w:r>
        <w:t>В 6-ю летнюю смену функционировало 5 групп. Суммарная численность обучающихся составила 337 человек  объем образовательной деятельности — 3 378 человеко-часов.</w:t>
      </w:r>
    </w:p>
    <w:p>
      <w:pPr>
        <w:spacing w:after="80"/>
        <w:ind w:firstLine="709"/>
        <w:jc w:val="both"/>
      </w:pPr>
      <w:r>
        <w:t>Наиболее высокий показатель в смене продемонстрировало объединение «Подвижные игры» — 77 человек. Состав образовательного предложения включал 4 направленности, что обеспечивало детям возможность выбора разных видов деятельности.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4. Анализ деятельности по направленностям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29"/>
        <w:gridCol w:w="2029"/>
        <w:gridCol w:w="2029"/>
        <w:gridCol w:w="2029"/>
        <w:gridCol w:w="2029"/>
      </w:tblGrid>
      <w:tr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Направленность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Группы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Численность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Человеко-часы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Доля</w:t>
            </w:r>
          </w:p>
        </w:tc>
      </w:tr>
      <w:tr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Социально-гуманитарная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13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806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8058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39.0 %</w:t>
            </w:r>
          </w:p>
        </w:tc>
      </w:tr>
      <w:tr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Художественная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404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4049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19.5 %</w:t>
            </w:r>
          </w:p>
        </w:tc>
      </w:tr>
      <w:tr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Физкультурно-спортивная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372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3726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18.0 %</w:t>
            </w:r>
          </w:p>
        </w:tc>
      </w:tr>
      <w:tr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Техническая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327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3270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15.8 %</w:t>
            </w:r>
          </w:p>
        </w:tc>
      </w:tr>
      <w:tr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Естественнонаучная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159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1588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7.7 %</w:t>
            </w:r>
          </w:p>
        </w:tc>
      </w:tr>
      <w:tr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ИТОГО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33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2068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20691</w:t>
            </w:r>
          </w:p>
        </w:tc>
        <w:tc>
          <w:tcPr>
            <w:tcW w:type="dxa" w:w="2029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100 %</w:t>
            </w:r>
          </w:p>
        </w:tc>
      </w:tr>
    </w:tbl>
    <w:p>
      <w:pPr>
        <w:spacing w:after="80"/>
        <w:ind w:firstLine="709"/>
        <w:jc w:val="both"/>
      </w:pPr>
      <w:r>
        <w:t>Наибольшую долю занимает социально-гуманитарная направленность — 806 человек, или 39,0 % суммарной численности. Художественная направленность объединяет 404 человека (19,5 %), физкультурно-спортивная — 372 человека (18,0 %), техническая — 327 человек (15,8 %), естественнонаучная — 159 человек (7,7 %). В сравнении с выраженным доминированием одного направления такая структура может быть оценена как достаточно разнообразная и сбалансированная.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89320" cy="417398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rection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1739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3. Структура дополнительного образования по направленностям</w:t>
      </w:r>
    </w:p>
    <w:p>
      <w:pPr>
        <w:spacing w:after="80"/>
        <w:ind w:firstLine="709"/>
        <w:jc w:val="both"/>
      </w:pPr>
      <w:r>
        <w:t>Диаграмма показывает, что в 2025 году образовательное предложение было распределено между пятью направленностями. Социально-гуманитарный блок являлся крупнейшим, однако значительную долю также составляли художественное, физкультурно-спортивное и техническое направления.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5. Анализ дополнительных общеобразовательных программ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6"/>
        <w:gridCol w:w="2536"/>
        <w:gridCol w:w="2536"/>
        <w:gridCol w:w="2536"/>
      </w:tblGrid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Программа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Группы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Численность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Человеко-часы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Домовенок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12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750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7500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Робототехника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327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3270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В ритме танца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224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2247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Подвижные игры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200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2000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ДОО "Мир шахмат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172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1726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Чудеса в пробирке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159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1588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Веселые нотки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116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1162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Деревообработка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63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632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Театральные фантазии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57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566</w:t>
            </w:r>
          </w:p>
        </w:tc>
      </w:tr>
      <w:tr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ИТОГО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33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2068</w:t>
            </w:r>
          </w:p>
        </w:tc>
        <w:tc>
          <w:tcPr>
            <w:tcW w:type="dxa" w:w="2536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sz w:val="19"/>
              </w:rPr>
              <w:t>20691</w:t>
            </w:r>
          </w:p>
        </w:tc>
      </w:tr>
    </w:tbl>
    <w:p>
      <w:pPr>
        <w:spacing w:after="80"/>
        <w:ind w:firstLine="709"/>
        <w:jc w:val="both"/>
      </w:pPr>
      <w:r>
        <w:t>Наиболее масштабной стала программа «Домовенок»: 12 групп, 750 человек и 7 500 человеко-часов. Второе место занимает «Робототехника» — 327 человек в пяти группах. Значительные показатели также продемонстрировали программы «В ритме танца», «Подвижные игры» и ДОО «Мир шахмат».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89320" cy="406928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am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40692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4. Востребованность дополнительных общеобразовательных программ</w:t>
      </w:r>
    </w:p>
    <w:p>
      <w:pPr>
        <w:spacing w:after="80"/>
        <w:ind w:firstLine="709"/>
        <w:jc w:val="both"/>
      </w:pPr>
      <w:r>
        <w:t>Сопоставление программ показывает наличие как устойчивого ядра, реализуемого в нескольких сменах, так и отдельных программ, расширяющих вариативность образовательного предложения. Наиболее масштабной по суммарной численности являлась программа «Домовенок».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6. Анализ востребованности и вариативности</w:t>
      </w:r>
    </w:p>
    <w:p>
      <w:pPr>
        <w:spacing w:after="80"/>
        <w:ind w:firstLine="709"/>
        <w:jc w:val="both"/>
      </w:pPr>
      <w:r>
        <w:t>В 2025 году система дополнительного образования характеризовалась значительным разнообразием. В течение шести смен детям предлагались робототехника, театральное творчество, химические эксперименты, ландшафтный дизайн, деревообработка, музыкальная деятельность, танец, шахматы, подвижные игры и прикладные объединения программы «Домовенок».</w:t>
      </w:r>
    </w:p>
    <w:p>
      <w:pPr>
        <w:spacing w:after="80"/>
        <w:ind w:firstLine="709"/>
        <w:jc w:val="both"/>
      </w:pPr>
      <w:r>
        <w:t>Особенно устойчивыми являлись программы, повторявшиеся в нескольких сменах. «Робототехника» была представлена в пяти сменах и суммарно объединила 327 человек. Программа «Домовенок» реализовывалась через несколько тематических объединений и сформировала наиболее крупный блок дополнительного образования. Стабильная представленность спортивных и художественных программ позволяла сохранять баланс между интеллектуальной, творческой и двигательной активностью детей.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7. Роль дополнительного образования в воспитательной системе лагеря</w:t>
      </w:r>
    </w:p>
    <w:p>
      <w:pPr>
        <w:spacing w:after="80"/>
        <w:ind w:firstLine="709"/>
        <w:jc w:val="both"/>
      </w:pPr>
      <w:r>
        <w:t>Дополнительное образование в условиях лагеря выполняло не только образовательную, но и воспитательную, коммуникативную и досуговую функции. Добровольный выбор объединения создавал условия для проявления самостоятельности и интересов ребенка, а практико-ориентированный характер занятий позволял получать конкретный результат собственной деятельности.</w:t>
      </w:r>
    </w:p>
    <w:p>
      <w:pPr>
        <w:spacing w:after="80"/>
        <w:ind w:firstLine="709"/>
        <w:jc w:val="both"/>
      </w:pPr>
      <w:r>
        <w:t>Технические программы способствовали развитию логического и пространственного мышления; естественнонаучные — исследовательского интереса; художественные — творческого самовыражения; физкультурно-спортивные — двигательной активности и навыков взаимодействия; социально-гуманитарные — практических, коммуникативных и социально значимых компетенций.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8. Ключевые результаты ЛОК-2025</w:t>
      </w:r>
    </w:p>
    <w:p>
      <w:pPr>
        <w:ind w:left="283"/>
      </w:pPr>
      <w:r>
        <w:rPr>
          <w:b/>
        </w:rPr>
        <w:t>• 33 сформированные группы;</w:t>
      </w:r>
    </w:p>
    <w:p>
      <w:pPr>
        <w:ind w:left="283"/>
      </w:pPr>
      <w:r>
        <w:rPr>
          <w:b/>
        </w:rPr>
        <w:t>• 9 реализованных дополнительных общеобразовательных программ;</w:t>
      </w:r>
    </w:p>
    <w:p>
      <w:pPr>
        <w:ind w:left="283"/>
      </w:pPr>
      <w:r>
        <w:rPr>
          <w:b/>
        </w:rPr>
        <w:t>• 5 направленностей дополнительного образования;</w:t>
      </w:r>
    </w:p>
    <w:p>
      <w:pPr>
        <w:ind w:left="283"/>
      </w:pPr>
      <w:r>
        <w:rPr>
          <w:b/>
        </w:rPr>
        <w:t>• 2 068 человек — суммарная численность обучающихся по группам;</w:t>
      </w:r>
    </w:p>
    <w:p>
      <w:pPr>
        <w:ind w:left="283"/>
      </w:pPr>
      <w:r>
        <w:rPr>
          <w:b/>
        </w:rPr>
        <w:t>• 20 691 человеко-час образовательной деятельности.</w:t>
      </w:r>
    </w:p>
    <w:p>
      <w:pPr>
        <w:spacing w:after="80"/>
        <w:ind w:firstLine="709"/>
        <w:jc w:val="both"/>
      </w:pPr>
      <w:r>
        <w:t>Полученные показатели свидетельствуют о стабильной работе отдела на протяжении всех шести смен, значительном объеме образовательной деятельности и разнообразии доступных детям программ.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9. Направления дальнейшего развития</w:t>
      </w:r>
    </w:p>
    <w:p>
      <w:pPr>
        <w:pStyle w:val="Heading2"/>
        <w:spacing w:before="180" w:after="80"/>
      </w:pPr>
      <w:r>
        <w:rPr>
          <w:rFonts w:ascii="Times New Roman" w:hAnsi="Times New Roman"/>
        </w:rPr>
        <w:t>9.1. Сохранение баланса направленностей</w:t>
      </w:r>
    </w:p>
    <w:p>
      <w:pPr>
        <w:spacing w:after="80"/>
        <w:ind w:firstLine="709"/>
        <w:jc w:val="both"/>
      </w:pPr>
      <w:r>
        <w:t>Структура 2025 года демонстрирует сравнительно равномерное распределение образовательного предложения между несколькими направлениями. Целесообразно сохранять данный подход, не допуская чрезмерной концентрации групп в одном направлении и поддерживая технические, естественнонаучные, художественные и спортивные программы.</w:t>
      </w:r>
    </w:p>
    <w:p>
      <w:pPr>
        <w:pStyle w:val="Heading2"/>
        <w:spacing w:before="180" w:after="80"/>
      </w:pPr>
      <w:r>
        <w:rPr>
          <w:rFonts w:ascii="Times New Roman" w:hAnsi="Times New Roman"/>
        </w:rPr>
        <w:t>9.2. Развитие устойчиво востребованных программ</w:t>
      </w:r>
    </w:p>
    <w:p>
      <w:pPr>
        <w:spacing w:after="80"/>
        <w:ind w:firstLine="709"/>
        <w:jc w:val="both"/>
      </w:pPr>
      <w:r>
        <w:t>Показатели «Робототехники», программы «Домовенок», танцевальных и спортивных объединений позволяют рассматривать их как устойчивые элементы образовательной системы. При планировании последующих кампаний целесообразно сохранять эти направления, одновременно обновляя содержание и формы работы.</w:t>
      </w:r>
    </w:p>
    <w:p>
      <w:pPr>
        <w:pStyle w:val="Heading2"/>
        <w:spacing w:before="180" w:after="80"/>
      </w:pPr>
      <w:r>
        <w:rPr>
          <w:rFonts w:ascii="Times New Roman" w:hAnsi="Times New Roman"/>
        </w:rPr>
        <w:t>9.3. Совершенствование мониторинга</w:t>
      </w:r>
    </w:p>
    <w:p>
      <w:pPr>
        <w:spacing w:after="80"/>
        <w:ind w:firstLine="709"/>
        <w:jc w:val="both"/>
      </w:pPr>
      <w:r>
        <w:t>Для углубления аналитики рекомендуется дополнительно фиксировать количество уникальных детей, долю охвата от общей численности смены, количество детей, посещающих несколько объединений, фактическое количество занятий, среднюю посещаемость, возраст участников, удовлетворенность детей и итоговые продукты деятельности.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10. Итоговая оценка эффективности работы отдела</w:t>
      </w:r>
    </w:p>
    <w:p>
      <w:pPr>
        <w:spacing w:after="80"/>
        <w:ind w:firstLine="709"/>
        <w:jc w:val="both"/>
      </w:pPr>
      <w:r>
        <w:t>По итогам шести летних смен деятельность отдела дополнительного образования МАУ «ЗОЛ «Медная горка» в период летней оздоровительной кампании 2025 года может быть оценена как стабильная, содержательно разнообразная и результативная. Отдел обеспечил функционирование 33 групп в рамках 9 дополнительных общеобразовательных программ и 5 направленностей.</w:t>
      </w:r>
    </w:p>
    <w:p>
      <w:pPr>
        <w:spacing w:after="80"/>
        <w:ind w:firstLine="709"/>
        <w:jc w:val="both"/>
      </w:pPr>
      <w:r>
        <w:t>Общий объем деятельности составил 20 691 человеко-час, суммарная численность обучающихся по сформированным группам — 2 068 человек. Значимым результатом является сочетание устойчивых программ с вариативным образовательным предложением, что позволяло учитывать широкий спектр интересов воспитанников.</w:t>
      </w:r>
    </w:p>
    <w:p>
      <w:pPr>
        <w:pStyle w:val="Heading1"/>
        <w:spacing w:before="180" w:after="80"/>
      </w:pPr>
      <w:r>
        <w:rPr>
          <w:rFonts w:ascii="Times New Roman" w:hAnsi="Times New Roman"/>
        </w:rPr>
        <w:t>11. Общий вывод</w:t>
      </w:r>
    </w:p>
    <w:p>
      <w:pPr>
        <w:spacing w:after="80"/>
        <w:ind w:firstLine="709"/>
        <w:jc w:val="both"/>
      </w:pPr>
      <w:r>
        <w:t>По итогам летней оздоровительной кампании 2025 года отдел дополнительного образования обеспечил устойчивую и вариативную систему занятости детей, интегрированную в общую воспитательную среду лагеря. Реализация программ пяти направленностей позволила сочетать техническое творчество, естественнонаучное исследование, художественное самовыражение, двигательную активность и социально-гуманитарные практики.</w:t>
      </w:r>
    </w:p>
    <w:p>
      <w:pPr>
        <w:spacing w:after="80"/>
        <w:ind w:firstLine="709"/>
        <w:jc w:val="both"/>
      </w:pPr>
      <w:r>
        <w:t>Сильными сторонами деятельности отдела являются разнообразие программ, достаточно сбалансированная структура направленностей, наличие устойчиво востребованных объединений и значительный объем образовательной работы. Дальнейшее развитие целесообразно связывать с сохранением вариативности, обновлением содержания программ и совершенствованием системы мониторинга качественных и количественных результатов.</w:t>
      </w:r>
    </w:p>
    <w:sectPr w:rsidR="00FC693F" w:rsidRPr="0006063C" w:rsidSect="00034616">
      <w:pgSz w:w="12240" w:h="15840"/>
      <w:pgMar w:top="1020" w:right="85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